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7E6B15" w:rsidRDefault="00E13E6B" w:rsidP="00531D1E">
      <w:pPr>
        <w:ind w:left="2835" w:right="1843" w:hanging="992"/>
        <w:jc w:val="both"/>
        <w:rPr>
          <w:rFonts w:ascii="Tahoma" w:hAnsi="Tahoma" w:cs="Tahoma"/>
          <w:i/>
          <w:sz w:val="16"/>
          <w:szCs w:val="16"/>
        </w:rPr>
      </w:pPr>
      <w:r w:rsidRPr="007E6B15">
        <w:rPr>
          <w:rFonts w:ascii="Tahoma" w:hAnsi="Tahoma" w:cs="Tahoma"/>
          <w:b/>
          <w:i/>
          <w:sz w:val="16"/>
          <w:szCs w:val="16"/>
        </w:rPr>
        <w:t xml:space="preserve">Sumilla: </w:t>
      </w:r>
      <w:r w:rsidR="005E6E6D" w:rsidRPr="007E6B15">
        <w:rPr>
          <w:rFonts w:ascii="Tahoma" w:hAnsi="Tahoma" w:cs="Tahoma"/>
          <w:b/>
          <w:i/>
          <w:sz w:val="16"/>
          <w:szCs w:val="16"/>
        </w:rPr>
        <w:t xml:space="preserve">   </w:t>
      </w:r>
      <w:r w:rsidR="00076C20" w:rsidRPr="007E6B15">
        <w:rPr>
          <w:rFonts w:ascii="Tahoma" w:hAnsi="Tahoma" w:cs="Tahoma"/>
          <w:b/>
          <w:i/>
          <w:sz w:val="16"/>
          <w:szCs w:val="16"/>
        </w:rPr>
        <w:t xml:space="preserve">   </w:t>
      </w:r>
      <w:r w:rsidR="00635F2E" w:rsidRPr="007E6B15">
        <w:rPr>
          <w:rFonts w:ascii="Tahoma" w:hAnsi="Tahoma" w:cs="Tahoma"/>
          <w:b/>
          <w:i/>
          <w:sz w:val="16"/>
          <w:szCs w:val="16"/>
        </w:rPr>
        <w:t>“</w:t>
      </w:r>
      <w:r w:rsidR="00FF6B17" w:rsidRPr="007E6B15">
        <w:rPr>
          <w:rFonts w:ascii="Tahoma" w:hAnsi="Tahoma" w:cs="Tahoma"/>
          <w:i/>
          <w:sz w:val="16"/>
          <w:szCs w:val="16"/>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w:t>
      </w:r>
      <w:r w:rsidR="009B3C77" w:rsidRPr="007E6B15">
        <w:rPr>
          <w:rFonts w:ascii="Tahoma" w:hAnsi="Tahoma" w:cs="Tahoma"/>
          <w:i/>
          <w:sz w:val="16"/>
          <w:szCs w:val="16"/>
        </w:rPr>
        <w:t>ausal atribuible al Contratista</w:t>
      </w:r>
      <w:r w:rsidR="00635F2E" w:rsidRPr="007E6B15">
        <w:rPr>
          <w:rFonts w:ascii="Tahoma" w:hAnsi="Tahoma" w:cs="Tahoma"/>
          <w:i/>
          <w:sz w:val="16"/>
          <w:szCs w:val="16"/>
        </w:rPr>
        <w:t>”.</w:t>
      </w:r>
    </w:p>
    <w:p w:rsidR="00E13E6B" w:rsidRPr="007E6B15" w:rsidRDefault="00E13E6B" w:rsidP="00E13E6B">
      <w:pPr>
        <w:ind w:left="2268" w:right="1843"/>
        <w:jc w:val="both"/>
        <w:rPr>
          <w:rFonts w:ascii="Tahoma" w:hAnsi="Tahoma" w:cs="Tahoma"/>
          <w:b/>
          <w:i/>
          <w:sz w:val="20"/>
          <w:szCs w:val="20"/>
          <w:highlight w:val="yellow"/>
        </w:rPr>
      </w:pPr>
    </w:p>
    <w:p w:rsidR="00E13E6B" w:rsidRPr="007E6B15" w:rsidRDefault="00E13E6B" w:rsidP="00E13E6B">
      <w:pPr>
        <w:pStyle w:val="Textoindependiente3"/>
        <w:ind w:left="4956" w:firstLine="708"/>
        <w:jc w:val="both"/>
        <w:rPr>
          <w:rFonts w:ascii="Tahoma" w:hAnsi="Tahoma" w:cs="Tahoma"/>
        </w:rPr>
      </w:pPr>
      <w:r w:rsidRPr="007E6B15">
        <w:rPr>
          <w:rFonts w:ascii="Tahoma" w:hAnsi="Tahoma" w:cs="Tahoma"/>
        </w:rPr>
        <w:t xml:space="preserve">Lima, </w:t>
      </w:r>
      <w:r w:rsidR="00132198">
        <w:rPr>
          <w:rFonts w:ascii="Tahoma" w:hAnsi="Tahoma" w:cs="Tahoma"/>
        </w:rPr>
        <w:t>21 de Junio de 2011</w:t>
      </w:r>
    </w:p>
    <w:p w:rsidR="00E13E6B" w:rsidRPr="007E6B15" w:rsidRDefault="00E13E6B" w:rsidP="00E13E6B">
      <w:pPr>
        <w:pStyle w:val="Textoindependiente3"/>
        <w:jc w:val="both"/>
        <w:rPr>
          <w:rFonts w:ascii="Tahoma" w:hAnsi="Tahoma" w:cs="Tahoma"/>
          <w:b w:val="0"/>
          <w:lang w:val="es-ES"/>
        </w:rPr>
      </w:pPr>
    </w:p>
    <w:p w:rsidR="00E13E6B" w:rsidRPr="007E6B15" w:rsidRDefault="00E13E6B" w:rsidP="00E13E6B">
      <w:pPr>
        <w:ind w:firstLine="708"/>
        <w:jc w:val="both"/>
        <w:rPr>
          <w:rFonts w:ascii="Tahoma" w:hAnsi="Tahoma" w:cs="Tahoma"/>
          <w:sz w:val="20"/>
          <w:szCs w:val="20"/>
        </w:rPr>
      </w:pPr>
      <w:r w:rsidRPr="007E6B15">
        <w:rPr>
          <w:rFonts w:ascii="Tahoma" w:hAnsi="Tahoma" w:cs="Tahoma"/>
          <w:b/>
          <w:sz w:val="20"/>
          <w:szCs w:val="20"/>
        </w:rPr>
        <w:t>VISTO,</w:t>
      </w:r>
      <w:r w:rsidRPr="007E6B15">
        <w:rPr>
          <w:rFonts w:ascii="Tahoma" w:hAnsi="Tahoma" w:cs="Tahoma"/>
          <w:sz w:val="20"/>
          <w:szCs w:val="20"/>
        </w:rPr>
        <w:t xml:space="preserve"> en sesión de fecha </w:t>
      </w:r>
      <w:r w:rsidR="007E6B15">
        <w:rPr>
          <w:rFonts w:ascii="Tahoma" w:hAnsi="Tahoma" w:cs="Tahoma"/>
          <w:sz w:val="20"/>
          <w:szCs w:val="20"/>
        </w:rPr>
        <w:t>21 de junio</w:t>
      </w:r>
      <w:r w:rsidR="00D43251" w:rsidRPr="007E6B15">
        <w:rPr>
          <w:rFonts w:ascii="Tahoma" w:hAnsi="Tahoma" w:cs="Tahoma"/>
          <w:sz w:val="20"/>
          <w:szCs w:val="20"/>
        </w:rPr>
        <w:t xml:space="preserve"> </w:t>
      </w:r>
      <w:r w:rsidR="00531D1E" w:rsidRPr="007E6B15">
        <w:rPr>
          <w:rFonts w:ascii="Tahoma" w:hAnsi="Tahoma" w:cs="Tahoma"/>
          <w:sz w:val="20"/>
          <w:szCs w:val="20"/>
        </w:rPr>
        <w:t>de 2011</w:t>
      </w:r>
      <w:r w:rsidRPr="007E6B15">
        <w:rPr>
          <w:rFonts w:ascii="Tahoma" w:hAnsi="Tahoma" w:cs="Tahoma"/>
          <w:sz w:val="20"/>
          <w:szCs w:val="20"/>
        </w:rPr>
        <w:t xml:space="preserve"> de la </w:t>
      </w:r>
      <w:r w:rsidR="001776B6" w:rsidRPr="007E6B15">
        <w:rPr>
          <w:rFonts w:ascii="Tahoma" w:hAnsi="Tahoma" w:cs="Tahoma"/>
          <w:sz w:val="20"/>
          <w:szCs w:val="20"/>
        </w:rPr>
        <w:t>Primera</w:t>
      </w:r>
      <w:r w:rsidRPr="007E6B15">
        <w:rPr>
          <w:rFonts w:ascii="Tahoma" w:hAnsi="Tahoma" w:cs="Tahoma"/>
          <w:sz w:val="20"/>
          <w:szCs w:val="20"/>
        </w:rPr>
        <w:t xml:space="preserve"> Sala del Tribunal de Contrataciones del Estado el Expediente № </w:t>
      </w:r>
      <w:r w:rsidR="00D66D64">
        <w:rPr>
          <w:rFonts w:ascii="Tahoma" w:hAnsi="Tahoma" w:cs="Tahoma"/>
          <w:sz w:val="20"/>
          <w:szCs w:val="20"/>
        </w:rPr>
        <w:t>1542</w:t>
      </w:r>
      <w:r w:rsidR="00531D1E" w:rsidRPr="007E6B15">
        <w:rPr>
          <w:rFonts w:ascii="Tahoma" w:hAnsi="Tahoma" w:cs="Tahoma"/>
          <w:sz w:val="20"/>
          <w:szCs w:val="20"/>
        </w:rPr>
        <w:t>/20</w:t>
      </w:r>
      <w:r w:rsidR="00222218" w:rsidRPr="007E6B15">
        <w:rPr>
          <w:rFonts w:ascii="Tahoma" w:hAnsi="Tahoma" w:cs="Tahoma"/>
          <w:sz w:val="20"/>
          <w:szCs w:val="20"/>
        </w:rPr>
        <w:t>1</w:t>
      </w:r>
      <w:r w:rsidR="00D66D64">
        <w:rPr>
          <w:rFonts w:ascii="Tahoma" w:hAnsi="Tahoma" w:cs="Tahoma"/>
          <w:sz w:val="20"/>
          <w:szCs w:val="20"/>
        </w:rPr>
        <w:t>0</w:t>
      </w:r>
      <w:r w:rsidRPr="007E6B15">
        <w:rPr>
          <w:rFonts w:ascii="Tahoma" w:hAnsi="Tahoma" w:cs="Tahoma"/>
          <w:sz w:val="20"/>
          <w:szCs w:val="20"/>
        </w:rPr>
        <w:t>.TC, sobre procedimiento administrativo sancionador contra</w:t>
      </w:r>
      <w:r w:rsidR="00140241" w:rsidRPr="007E6B15">
        <w:rPr>
          <w:rFonts w:ascii="Tahoma" w:hAnsi="Tahoma" w:cs="Tahoma"/>
          <w:sz w:val="20"/>
          <w:szCs w:val="20"/>
        </w:rPr>
        <w:t xml:space="preserve"> </w:t>
      </w:r>
      <w:r w:rsidR="005E6E6D" w:rsidRPr="007E6B15">
        <w:rPr>
          <w:rFonts w:ascii="Tahoma" w:hAnsi="Tahoma" w:cs="Tahoma"/>
          <w:sz w:val="20"/>
          <w:szCs w:val="20"/>
        </w:rPr>
        <w:t xml:space="preserve">el señor </w:t>
      </w:r>
      <w:r w:rsidR="00D66D64" w:rsidRPr="00D66D64">
        <w:rPr>
          <w:rFonts w:ascii="Tahoma" w:hAnsi="Tahoma" w:cs="Tahoma"/>
          <w:sz w:val="20"/>
          <w:szCs w:val="20"/>
        </w:rPr>
        <w:t xml:space="preserve">CARLOS ENRIQUE FABIAN CHALE </w:t>
      </w:r>
      <w:r w:rsidRPr="007E6B15">
        <w:rPr>
          <w:rFonts w:ascii="Tahoma" w:hAnsi="Tahoma" w:cs="Tahoma"/>
          <w:sz w:val="20"/>
          <w:szCs w:val="20"/>
        </w:rPr>
        <w:t xml:space="preserve">por supuesta responsabilidad en la resolución </w:t>
      </w:r>
      <w:r w:rsidR="00076C20" w:rsidRPr="007E6B15">
        <w:rPr>
          <w:rFonts w:ascii="Tahoma" w:hAnsi="Tahoma" w:cs="Tahoma"/>
          <w:sz w:val="20"/>
          <w:szCs w:val="20"/>
        </w:rPr>
        <w:t>de</w:t>
      </w:r>
      <w:r w:rsidR="00D66D64">
        <w:rPr>
          <w:rFonts w:ascii="Tahoma" w:hAnsi="Tahoma" w:cs="Tahoma"/>
          <w:sz w:val="20"/>
          <w:szCs w:val="20"/>
        </w:rPr>
        <w:t>l</w:t>
      </w:r>
      <w:r w:rsidR="00076C20" w:rsidRPr="007E6B15">
        <w:rPr>
          <w:rFonts w:ascii="Tahoma" w:hAnsi="Tahoma" w:cs="Tahoma"/>
          <w:sz w:val="20"/>
          <w:szCs w:val="20"/>
        </w:rPr>
        <w:t xml:space="preserve"> </w:t>
      </w:r>
      <w:r w:rsidR="00D66D64" w:rsidRPr="00D66D64">
        <w:rPr>
          <w:rFonts w:ascii="Tahoma" w:hAnsi="Tahoma" w:cs="Tahoma"/>
          <w:sz w:val="20"/>
          <w:szCs w:val="20"/>
        </w:rPr>
        <w:t xml:space="preserve">Contrato № 035-2009-P-CSJJU/PJ </w:t>
      </w:r>
      <w:r w:rsidR="00822C2F" w:rsidRPr="007E6B15">
        <w:rPr>
          <w:rFonts w:ascii="Tahoma" w:hAnsi="Tahoma" w:cs="Tahoma"/>
          <w:sz w:val="20"/>
          <w:szCs w:val="20"/>
        </w:rPr>
        <w:t xml:space="preserve">por causa atribuible a </w:t>
      </w:r>
      <w:r w:rsidR="00214D5E" w:rsidRPr="007E6B15">
        <w:rPr>
          <w:rFonts w:ascii="Tahoma" w:hAnsi="Tahoma" w:cs="Tahoma"/>
          <w:sz w:val="20"/>
          <w:szCs w:val="20"/>
        </w:rPr>
        <w:t>él</w:t>
      </w:r>
      <w:r w:rsidR="00466DC8" w:rsidRPr="007E6B15">
        <w:rPr>
          <w:rFonts w:ascii="Tahoma" w:hAnsi="Tahoma" w:cs="Tahoma"/>
          <w:sz w:val="20"/>
          <w:szCs w:val="20"/>
        </w:rPr>
        <w:t>, derivada</w:t>
      </w:r>
      <w:r w:rsidR="000B0A8A" w:rsidRPr="007E6B15">
        <w:rPr>
          <w:rFonts w:ascii="Tahoma" w:hAnsi="Tahoma" w:cs="Tahoma"/>
          <w:sz w:val="20"/>
          <w:szCs w:val="20"/>
        </w:rPr>
        <w:t xml:space="preserve"> de la</w:t>
      </w:r>
      <w:r w:rsidRPr="007E6B15">
        <w:rPr>
          <w:rFonts w:ascii="Tahoma" w:hAnsi="Tahoma" w:cs="Tahoma"/>
          <w:sz w:val="20"/>
          <w:szCs w:val="20"/>
        </w:rPr>
        <w:t xml:space="preserve"> </w:t>
      </w:r>
      <w:r w:rsidR="004A2DC1" w:rsidRPr="004A2DC1">
        <w:rPr>
          <w:rFonts w:ascii="Tahoma" w:hAnsi="Tahoma" w:cs="Tahoma"/>
          <w:sz w:val="20"/>
          <w:szCs w:val="20"/>
        </w:rPr>
        <w:t>Adjudicación de Menor Cuantía № 017-2009-CEP-CSJJU/PJ</w:t>
      </w:r>
      <w:r w:rsidR="00D43251" w:rsidRPr="007E6B15">
        <w:rPr>
          <w:rFonts w:ascii="Tahoma" w:hAnsi="Tahoma" w:cs="Tahoma"/>
          <w:sz w:val="20"/>
          <w:szCs w:val="20"/>
        </w:rPr>
        <w:t xml:space="preserve">, </w:t>
      </w:r>
      <w:r w:rsidR="008422E3" w:rsidRPr="007E6B15">
        <w:rPr>
          <w:rFonts w:ascii="Tahoma" w:hAnsi="Tahoma" w:cs="Tahoma"/>
          <w:sz w:val="20"/>
          <w:szCs w:val="20"/>
        </w:rPr>
        <w:t>primera</w:t>
      </w:r>
      <w:r w:rsidR="00D43251" w:rsidRPr="007E6B15">
        <w:rPr>
          <w:rFonts w:ascii="Tahoma" w:hAnsi="Tahoma" w:cs="Tahoma"/>
          <w:sz w:val="20"/>
          <w:szCs w:val="20"/>
        </w:rPr>
        <w:t xml:space="preserve"> convocatoria</w:t>
      </w:r>
      <w:r w:rsidRPr="007E6B15">
        <w:rPr>
          <w:rFonts w:ascii="Tahoma" w:hAnsi="Tahoma" w:cs="Tahoma"/>
          <w:sz w:val="20"/>
          <w:szCs w:val="20"/>
        </w:rPr>
        <w:t xml:space="preserve">, </w:t>
      </w:r>
      <w:r w:rsidR="00D43251" w:rsidRPr="007E6B15">
        <w:rPr>
          <w:rFonts w:ascii="Tahoma" w:hAnsi="Tahoma" w:cs="Tahoma"/>
          <w:sz w:val="20"/>
          <w:szCs w:val="20"/>
        </w:rPr>
        <w:t xml:space="preserve">realizada por </w:t>
      </w:r>
      <w:r w:rsidR="004A2DC1">
        <w:rPr>
          <w:rFonts w:ascii="Tahoma" w:hAnsi="Tahoma" w:cs="Tahoma"/>
          <w:sz w:val="20"/>
          <w:szCs w:val="20"/>
        </w:rPr>
        <w:t xml:space="preserve">la </w:t>
      </w:r>
      <w:r w:rsidR="004A2DC1" w:rsidRPr="004A2DC1">
        <w:rPr>
          <w:rFonts w:ascii="Tahoma" w:hAnsi="Tahoma" w:cs="Tahoma"/>
          <w:sz w:val="20"/>
          <w:szCs w:val="20"/>
        </w:rPr>
        <w:t>Corte Superior de Justicia de Junín</w:t>
      </w:r>
      <w:r w:rsidRPr="007E6B15">
        <w:rPr>
          <w:rFonts w:ascii="Tahoma" w:hAnsi="Tahoma" w:cs="Tahoma"/>
          <w:sz w:val="20"/>
          <w:szCs w:val="20"/>
        </w:rPr>
        <w:t>, para</w:t>
      </w:r>
      <w:r w:rsidR="00903A92" w:rsidRPr="007E6B15">
        <w:rPr>
          <w:rFonts w:ascii="Tahoma" w:hAnsi="Tahoma" w:cs="Tahoma"/>
          <w:sz w:val="20"/>
          <w:szCs w:val="20"/>
        </w:rPr>
        <w:t xml:space="preserve"> </w:t>
      </w:r>
      <w:r w:rsidR="004A2DC1">
        <w:rPr>
          <w:rFonts w:ascii="Tahoma" w:hAnsi="Tahoma" w:cs="Tahoma"/>
          <w:sz w:val="20"/>
          <w:szCs w:val="20"/>
        </w:rPr>
        <w:t>e</w:t>
      </w:r>
      <w:r w:rsidR="004A2DC1" w:rsidRPr="004A2DC1">
        <w:rPr>
          <w:rFonts w:ascii="Tahoma" w:hAnsi="Tahoma" w:cs="Tahoma"/>
          <w:sz w:val="20"/>
          <w:szCs w:val="20"/>
        </w:rPr>
        <w:t>l “Servicio de Saneamiento Físico Legal de los Terrenos de la Entidad”</w:t>
      </w:r>
      <w:r w:rsidRPr="007E6B15">
        <w:rPr>
          <w:rFonts w:ascii="Tahoma" w:hAnsi="Tahoma" w:cs="Tahoma"/>
          <w:sz w:val="20"/>
          <w:szCs w:val="20"/>
        </w:rPr>
        <w:t xml:space="preserve">, y; atendiendo a los siguientes:  </w:t>
      </w:r>
    </w:p>
    <w:p w:rsidR="00E13E6B" w:rsidRPr="007E6B15" w:rsidRDefault="00E13E6B" w:rsidP="00E13E6B">
      <w:pPr>
        <w:ind w:right="45"/>
        <w:jc w:val="both"/>
        <w:rPr>
          <w:rFonts w:ascii="Tahoma" w:hAnsi="Tahoma" w:cs="Tahoma"/>
          <w:b/>
          <w:sz w:val="20"/>
          <w:szCs w:val="20"/>
        </w:rPr>
      </w:pPr>
    </w:p>
    <w:p w:rsidR="00E13E6B" w:rsidRPr="007E6B15" w:rsidRDefault="00E13E6B" w:rsidP="00E13E6B">
      <w:pPr>
        <w:ind w:firstLine="567"/>
        <w:jc w:val="both"/>
        <w:rPr>
          <w:rFonts w:ascii="Tahoma" w:hAnsi="Tahoma" w:cs="Tahoma"/>
          <w:b/>
          <w:sz w:val="20"/>
          <w:szCs w:val="20"/>
        </w:rPr>
      </w:pPr>
      <w:r w:rsidRPr="007E6B15">
        <w:rPr>
          <w:rFonts w:ascii="Tahoma" w:hAnsi="Tahoma" w:cs="Tahoma"/>
          <w:b/>
          <w:sz w:val="20"/>
          <w:szCs w:val="20"/>
        </w:rPr>
        <w:t>ANTECEDENTES:</w:t>
      </w:r>
    </w:p>
    <w:p w:rsidR="00E13E6B" w:rsidRPr="007E6B15" w:rsidRDefault="00E13E6B" w:rsidP="00E13E6B">
      <w:pPr>
        <w:ind w:left="426"/>
        <w:jc w:val="both"/>
        <w:rPr>
          <w:rFonts w:ascii="Tahoma" w:hAnsi="Tahoma" w:cs="Tahoma"/>
          <w:b/>
          <w:bCs/>
          <w:shadow/>
          <w:sz w:val="20"/>
          <w:szCs w:val="20"/>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El 09 de diciembre de 2009, la Corte Superior de Justicia de Junín, en adelante la Entidad, convocó la Adjudicación de Menor Cuantía № 017-2009-CEP-CSJJU/PJ, primera convocatoria, para la “Servicio de Saneamiento Físico Legal de los Terrenos de la Entidad”, por un valor referencial de S/. 14 000.00 (catorce mil con 00/100 nuevos soles), incluido los impuesto de ley.</w:t>
      </w:r>
    </w:p>
    <w:p w:rsidR="007E6B15" w:rsidRPr="007E6B15" w:rsidRDefault="007E6B15" w:rsidP="007E6B15">
      <w:pPr>
        <w:ind w:left="567"/>
        <w:rPr>
          <w:rFonts w:ascii="Tahoma" w:hAnsi="Tahoma" w:cs="Tahoma"/>
          <w:sz w:val="20"/>
          <w:szCs w:val="20"/>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Como resultado del proceso de selección, el 11 de diciembre de 2009, se otorgó la Buena Pro al señor CARLOS ENRIQUE FABIAN CHALE, por su oferta económica ascendente a S/. 14 000.00 nuevos soles.</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El 29 de diciembre de 2009, la Entidad y el señor CARLOS ENRIQUE FABIAN CHALE, en adelante el Contratista, suscribieron el Contrato № 035-2009-P-CSJJU/PJ, para la servicio de saneamiento físico legal de los terrenos de la Entidad, por el monto de S/. 14 000.00, y cuyo plazo de ejecución contractual sería de sesenta (60) días calendarios, contados a partir de la firma del mencionado contrato.</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 xml:space="preserve">Con Carta № 002-2010-CEFCH-CO de fecha 25 de febrero de 2010, recepcionado el 01 de marzo del mismo año, el Contratista remitió a la Entidad, lo siguiente: </w:t>
      </w:r>
      <w:r w:rsidRPr="007E6B15">
        <w:rPr>
          <w:rFonts w:ascii="Tahoma" w:hAnsi="Tahoma" w:cs="Tahoma"/>
          <w:b/>
          <w:sz w:val="20"/>
          <w:szCs w:val="20"/>
        </w:rPr>
        <w:t>(i)</w:t>
      </w:r>
      <w:r w:rsidRPr="007E6B15">
        <w:rPr>
          <w:rFonts w:ascii="Tahoma" w:hAnsi="Tahoma" w:cs="Tahoma"/>
          <w:sz w:val="20"/>
          <w:szCs w:val="20"/>
        </w:rPr>
        <w:t xml:space="preserve"> Memoria Descriptiva, </w:t>
      </w:r>
      <w:r w:rsidRPr="007E6B15">
        <w:rPr>
          <w:rFonts w:ascii="Tahoma" w:hAnsi="Tahoma" w:cs="Tahoma"/>
          <w:b/>
          <w:sz w:val="20"/>
          <w:szCs w:val="20"/>
        </w:rPr>
        <w:t xml:space="preserve">(ii) </w:t>
      </w:r>
      <w:r w:rsidRPr="007E6B15">
        <w:rPr>
          <w:rFonts w:ascii="Tahoma" w:hAnsi="Tahoma" w:cs="Tahoma"/>
          <w:sz w:val="20"/>
          <w:szCs w:val="20"/>
        </w:rPr>
        <w:t xml:space="preserve">Planos de Levantamiento Topográfico </w:t>
      </w:r>
      <w:r w:rsidRPr="007E6B15">
        <w:rPr>
          <w:rFonts w:ascii="Tahoma" w:hAnsi="Tahoma" w:cs="Tahoma"/>
          <w:b/>
          <w:sz w:val="20"/>
          <w:szCs w:val="20"/>
        </w:rPr>
        <w:t>(iii)</w:t>
      </w:r>
      <w:r w:rsidRPr="007E6B15">
        <w:rPr>
          <w:rFonts w:ascii="Tahoma" w:hAnsi="Tahoma" w:cs="Tahoma"/>
          <w:sz w:val="20"/>
          <w:szCs w:val="20"/>
        </w:rPr>
        <w:t xml:space="preserve"> Planos de Ubicación; y </w:t>
      </w:r>
      <w:r w:rsidRPr="007E6B15">
        <w:rPr>
          <w:rFonts w:ascii="Tahoma" w:hAnsi="Tahoma" w:cs="Tahoma"/>
          <w:b/>
          <w:sz w:val="20"/>
          <w:szCs w:val="20"/>
        </w:rPr>
        <w:t>(iV)</w:t>
      </w:r>
      <w:r w:rsidRPr="007E6B15">
        <w:rPr>
          <w:rFonts w:ascii="Tahoma" w:hAnsi="Tahoma" w:cs="Tahoma"/>
          <w:sz w:val="20"/>
          <w:szCs w:val="20"/>
        </w:rPr>
        <w:t xml:space="preserve"> Planos de Localización de los terrenos de la Entidad. Asimismo, a través de la mencionada misiva, el Contratista solicitó a la Entidad se sirva efectuar el Acta de Conformidad del servicio.</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 xml:space="preserve">Mediante Carta Notarial № 001-2010-P-CSJJU/PJ de fecha 11 de marzo de 2010, diligenciada el 24 del mismo mes y año, la Entidad comunicó al Contratista que, habiéndose vencido el plazo del servicio contratado, se le otorgaba el plazo de cinco (5) </w:t>
      </w:r>
      <w:r w:rsidRPr="007E6B15">
        <w:rPr>
          <w:rFonts w:ascii="Tahoma" w:hAnsi="Tahoma" w:cs="Tahoma"/>
          <w:sz w:val="20"/>
          <w:szCs w:val="20"/>
        </w:rPr>
        <w:lastRenderedPageBreak/>
        <w:t>días calendario para que cumpla con lo estipulado en la Cláusula Octava del Contrato № 035-2009-P-CSJJU/PJ</w:t>
      </w:r>
      <w:r w:rsidRPr="007E6B15">
        <w:rPr>
          <w:rStyle w:val="Refdenotaalpie"/>
          <w:rFonts w:ascii="Tahoma" w:hAnsi="Tahoma" w:cs="Tahoma"/>
          <w:sz w:val="20"/>
          <w:szCs w:val="20"/>
        </w:rPr>
        <w:footnoteReference w:id="2"/>
      </w:r>
      <w:r w:rsidRPr="007E6B15">
        <w:rPr>
          <w:rFonts w:ascii="Tahoma" w:hAnsi="Tahoma" w:cs="Tahoma"/>
          <w:sz w:val="20"/>
          <w:szCs w:val="20"/>
        </w:rPr>
        <w:t>, bajo apercibimiento de proceder a la resolución contractual.</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A través de la Carta de fecha 25 de marzo de 2010, recepcionado el 26 del mismo mes y año, el Contratista comunicó a la Entidad que no se realizó la inscripción definitiva de los terrenos, toda vez que los mencionados terrenos se encontraban en proceso de saneamiento de propiedad por parte de las municipalidades respectivas, conforme los procedimientos administrativos de cada una de éstas, razón por la cual, el incumplimiento del contrato no le resultaba imputable. Asimismo, el Contratista informó a la Entidad que en aras de subsanar las observaciones y continuar con la prestación del servicio, reiteraba su disposición de continuar con la prestación.</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A través de la Carta Notarial № 002-2010-P-CSJJU/PJ de fecha 29 de marzo de 2010, diligenciada el 15 de abril del mismo año, la Entidad comunicó al Contratista que, al no haber cumplido con sus obligaciones contractuales, procedía a resolver el Contrato № 035-2009-P-CSJJU/PJ; por causal atribuible a su parte.</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Con escrito presentado el 29 de octubre de 2010 ante la Oficina Desconcentrada de Huancayo e ingresado a la Mesa de Partes del Tribunal el 03 de noviembre del mismo año, la Entidad puso en conocimiento del Tribunal de Contrataciones del Estado, en adelante el Tribunal, la supuesta responsabilidad del Contratista en la resolución del Contrato № 035-2009-P-CSJJU/PJ, por causal atribuible a su parte, derivado del acotado proceso de selección, pese a haber sido requerida de acuerdo con la legislación vigente. Asimismo, la Entidad indicó que a la fecha no existe proceso arbitral u otro mecanismo que se haya iniciado.</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Con decreto de fecha 08 de noviembre de 2010, el Tribunal inició el procedimiento administrativo sancionador contra el Contratista por su supuesta responsabilidad en la resolución del Contrato № 035-2009-P-CSJJU/PJ de fecha 29 de diciembre de 2009, derivado de la Adjudicación de Menor Cuantía № 017-2009-CEP-CSJJU/PJ, primera convocatoria, por causal atribuible a su parte, infracción tipificada en el literal b) del numeral 51.1 del artículo 51 de la Ley en concordancia con el literal b) del numeral 1) del artículo 237 del Reglamento. Asimismo, se le requirió para que en el plazo de diez (10) días hábiles cumplieran con presentar su escrito de descargos.</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Mediante decreto de fecha 19 de enero de 2011, previa razón de Secretaría, se sobrecartó la Cedula de Notificación № 123/2011.TC al domicilio sitio en: Prolongación Puno № 290, Huancayo – Junín, a fin que el Contratista cumpla con efectuar la presentación de sus descargos.</w:t>
      </w:r>
    </w:p>
    <w:p w:rsidR="007E6B15" w:rsidRPr="007E6B15" w:rsidRDefault="007E6B15" w:rsidP="007E6B15">
      <w:pPr>
        <w:ind w:left="567"/>
        <w:rPr>
          <w:rFonts w:ascii="Tahoma" w:hAnsi="Tahoma" w:cs="Tahoma"/>
          <w:sz w:val="20"/>
          <w:szCs w:val="20"/>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Mediante escrito presentado el 12 de abril de 2011 ante la Oficina Desconcentrada de Huancayo e ingresado a la Mesa de Partes del Tribunal el 14 del mismo mes y año, el Contratista presentó su escrito de descargos, bajo los siguientes términos:</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22"/>
        </w:numPr>
        <w:ind w:left="1134" w:hanging="283"/>
        <w:jc w:val="both"/>
        <w:rPr>
          <w:rFonts w:ascii="Tahoma" w:hAnsi="Tahoma" w:cs="Tahoma"/>
          <w:sz w:val="20"/>
          <w:szCs w:val="20"/>
        </w:rPr>
      </w:pPr>
      <w:r w:rsidRPr="007E6B15">
        <w:rPr>
          <w:rFonts w:ascii="Tahoma" w:hAnsi="Tahoma" w:cs="Tahoma"/>
          <w:sz w:val="20"/>
          <w:szCs w:val="20"/>
        </w:rPr>
        <w:lastRenderedPageBreak/>
        <w:t>Luego de firmado el contrato respectivo, me apersone a los lugares donde se ubicaban los terrenos, iniciando las gestiones necesarias para las actividades conducentes a la realización del objeto contractual, hecho que queda demostrado con las tres primeras prestaciones definidas en las Bases y dentro del plazo de sesenta (60) días. (sic)</w:t>
      </w:r>
    </w:p>
    <w:p w:rsidR="007E6B15" w:rsidRPr="007E6B15" w:rsidRDefault="007E6B15" w:rsidP="007E6B15">
      <w:pPr>
        <w:ind w:left="1134"/>
        <w:rPr>
          <w:rFonts w:ascii="Tahoma" w:hAnsi="Tahoma" w:cs="Tahoma"/>
          <w:sz w:val="20"/>
          <w:szCs w:val="20"/>
        </w:rPr>
      </w:pPr>
    </w:p>
    <w:p w:rsidR="007E6B15" w:rsidRPr="007E6B15" w:rsidRDefault="007E6B15" w:rsidP="007E6B15">
      <w:pPr>
        <w:numPr>
          <w:ilvl w:val="0"/>
          <w:numId w:val="22"/>
        </w:numPr>
        <w:ind w:left="1134" w:hanging="283"/>
        <w:jc w:val="both"/>
        <w:rPr>
          <w:rFonts w:ascii="Tahoma" w:hAnsi="Tahoma" w:cs="Tahoma"/>
          <w:sz w:val="20"/>
          <w:szCs w:val="20"/>
        </w:rPr>
      </w:pPr>
      <w:r w:rsidRPr="007E6B15">
        <w:rPr>
          <w:rFonts w:ascii="Tahoma" w:hAnsi="Tahoma" w:cs="Tahoma"/>
          <w:sz w:val="20"/>
          <w:szCs w:val="20"/>
        </w:rPr>
        <w:t>En ese sentido, mi representada ha concluido satisfactoriamente con las elaboración de los planos de levantamiento topográfico, ubicación y localización de los terrenos ubicados en los distritos de San Martin de Pangoa, Pichanaki, Pampa del Carmen y Satipo; así como elaboración de las memorias descriptivas de cada terreno, razón por la cual, el 01 de marzo de 2010, el suscrito solicitó a la Entidad el Acta de Conformidad del Servicio prestado. (sic)</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22"/>
        </w:numPr>
        <w:ind w:left="1134" w:hanging="283"/>
        <w:jc w:val="both"/>
        <w:rPr>
          <w:rFonts w:ascii="Tahoma" w:hAnsi="Tahoma" w:cs="Tahoma"/>
          <w:sz w:val="20"/>
          <w:szCs w:val="20"/>
        </w:rPr>
      </w:pPr>
      <w:r w:rsidRPr="007E6B15">
        <w:rPr>
          <w:rFonts w:ascii="Tahoma" w:hAnsi="Tahoma" w:cs="Tahoma"/>
          <w:sz w:val="20"/>
          <w:szCs w:val="20"/>
        </w:rPr>
        <w:t>Sin perjuicio de ello, quedaba la conclusión y continuación de los trámites para la inscripción en Registros Públicos, toda vez que éste era de entera responsabilidad del contratista hasta la culminación del servicio contratado y en los términos de los plazos de la propia Institución Registral, condición prevista en el segundo párrafo del numeral 5, del Capítulo III de las Bases, referido al plazo de la presentación de servicio, y que fue determinante para la postulación de mi oferta propuesta, toda vez que resultaría absurdo considerar que algún postor ofrecería un plazo que sabe no depende de él sino de la institución registral.  (sic)</w:t>
      </w:r>
    </w:p>
    <w:p w:rsidR="007E6B15" w:rsidRPr="007E6B15" w:rsidRDefault="007E6B15" w:rsidP="007E6B15">
      <w:pPr>
        <w:pStyle w:val="Prrafodelista"/>
        <w:rPr>
          <w:rFonts w:ascii="Tahoma" w:hAnsi="Tahoma" w:cs="Tahoma"/>
        </w:rPr>
      </w:pPr>
    </w:p>
    <w:p w:rsidR="007E6B15" w:rsidRPr="007E6B15" w:rsidRDefault="007E6B15" w:rsidP="004A2DC1">
      <w:pPr>
        <w:ind w:left="1134"/>
        <w:jc w:val="both"/>
        <w:rPr>
          <w:rFonts w:ascii="Tahoma" w:hAnsi="Tahoma" w:cs="Tahoma"/>
          <w:sz w:val="20"/>
          <w:szCs w:val="20"/>
        </w:rPr>
      </w:pPr>
      <w:r w:rsidRPr="007E6B15">
        <w:rPr>
          <w:rFonts w:ascii="Tahoma" w:hAnsi="Tahoma" w:cs="Tahoma"/>
          <w:sz w:val="20"/>
          <w:szCs w:val="20"/>
        </w:rPr>
        <w:t>La ajenidad de ambas partes respecto del plazo de inscripción del saneamiento físico legal de los Registros Públicos, ha sido prevista en las páginas 8 y 9 e las Bases Administrativas. (sic)</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22"/>
        </w:numPr>
        <w:ind w:left="1134" w:hanging="283"/>
        <w:jc w:val="both"/>
        <w:rPr>
          <w:rFonts w:ascii="Tahoma" w:hAnsi="Tahoma" w:cs="Tahoma"/>
          <w:sz w:val="20"/>
          <w:szCs w:val="20"/>
        </w:rPr>
      </w:pPr>
      <w:r w:rsidRPr="007E6B15">
        <w:rPr>
          <w:rFonts w:ascii="Tahoma" w:hAnsi="Tahoma" w:cs="Tahoma"/>
          <w:sz w:val="20"/>
          <w:szCs w:val="20"/>
        </w:rPr>
        <w:t>Por otro lado, en el desarrollo de las gestiones necesarias a fin de inscribir los terrenos de la Entidad se tomo conocimiento de las vicisitudes imprevistas y extraordinarias dependientes a la Entidad. (sic)</w:t>
      </w:r>
    </w:p>
    <w:p w:rsidR="007E6B15" w:rsidRPr="007E6B15" w:rsidRDefault="007E6B15" w:rsidP="007E6B15">
      <w:pPr>
        <w:ind w:left="1134"/>
        <w:rPr>
          <w:rFonts w:ascii="Tahoma" w:hAnsi="Tahoma" w:cs="Tahoma"/>
          <w:sz w:val="20"/>
          <w:szCs w:val="20"/>
        </w:rPr>
      </w:pPr>
    </w:p>
    <w:p w:rsidR="007E6B15" w:rsidRPr="007E6B15" w:rsidRDefault="007E6B15" w:rsidP="007E6B15">
      <w:pPr>
        <w:numPr>
          <w:ilvl w:val="0"/>
          <w:numId w:val="22"/>
        </w:numPr>
        <w:ind w:left="1134" w:hanging="283"/>
        <w:jc w:val="both"/>
        <w:rPr>
          <w:rFonts w:ascii="Tahoma" w:hAnsi="Tahoma" w:cs="Tahoma"/>
          <w:sz w:val="20"/>
          <w:szCs w:val="20"/>
        </w:rPr>
      </w:pPr>
      <w:r w:rsidRPr="007E6B15">
        <w:rPr>
          <w:rFonts w:ascii="Tahoma" w:hAnsi="Tahoma" w:cs="Tahoma"/>
          <w:sz w:val="20"/>
          <w:szCs w:val="20"/>
        </w:rPr>
        <w:t>Así, pues, los terrenos ubicados en los distritos de Satipo y Pichanaki no habían sido transferidos aún a la Entidad e incluso no se encontraban saneadas ni subdividas ni independizadas por las Municipalidades que se comprometieron a donar dichos terrenos, sin embargo, el recurrente exhorto a la mencionadas municipalidades a realizar los trabajos de saneamiento.</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22"/>
        </w:numPr>
        <w:ind w:left="1134" w:hanging="283"/>
        <w:jc w:val="both"/>
        <w:rPr>
          <w:rFonts w:ascii="Tahoma" w:hAnsi="Tahoma" w:cs="Tahoma"/>
          <w:sz w:val="20"/>
          <w:szCs w:val="20"/>
        </w:rPr>
      </w:pPr>
      <w:r w:rsidRPr="007E6B15">
        <w:rPr>
          <w:rFonts w:ascii="Tahoma" w:hAnsi="Tahoma" w:cs="Tahoma"/>
          <w:sz w:val="20"/>
          <w:szCs w:val="20"/>
        </w:rPr>
        <w:t>Por ello, la Entidad había convocado y contratado el saneamiento de terrenos que en el momento de la contratación no contaban con independización y transferencia a la Entidad, situación que imposibilito de facto la continuación de las gestiones de inscripción, por situaciones formales ajenas a mi persona.</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22"/>
        </w:numPr>
        <w:ind w:left="1134" w:hanging="283"/>
        <w:jc w:val="both"/>
        <w:rPr>
          <w:rFonts w:ascii="Tahoma" w:hAnsi="Tahoma" w:cs="Tahoma"/>
          <w:sz w:val="20"/>
          <w:szCs w:val="20"/>
        </w:rPr>
      </w:pPr>
      <w:r w:rsidRPr="007E6B15">
        <w:rPr>
          <w:rFonts w:ascii="Tahoma" w:hAnsi="Tahoma" w:cs="Tahoma"/>
          <w:sz w:val="20"/>
          <w:szCs w:val="20"/>
        </w:rPr>
        <w:t>La exigencia de inscribir los terrenos ante la SUNARP, era imposible de realizar, pues el plazo de inscripción no sólo dependía de la Entidad Registral, sino que requería necesariamente la práctica de actos previos por parte de la Entidad y las Municipalidades donantes para la transferencia de dos de los terrenos materia de la inscripción.</w:t>
      </w:r>
    </w:p>
    <w:p w:rsidR="007E6B15" w:rsidRPr="007E6B15" w:rsidRDefault="007E6B15" w:rsidP="007E6B15">
      <w:pPr>
        <w:ind w:left="1134"/>
        <w:rPr>
          <w:rFonts w:ascii="Tahoma" w:hAnsi="Tahoma" w:cs="Tahoma"/>
          <w:sz w:val="20"/>
          <w:szCs w:val="20"/>
        </w:rPr>
      </w:pPr>
    </w:p>
    <w:p w:rsidR="007E6B15" w:rsidRPr="007E6B15" w:rsidRDefault="007E6B15" w:rsidP="007E6B15">
      <w:pPr>
        <w:numPr>
          <w:ilvl w:val="0"/>
          <w:numId w:val="22"/>
        </w:numPr>
        <w:ind w:left="1134" w:hanging="283"/>
        <w:jc w:val="both"/>
        <w:rPr>
          <w:rFonts w:ascii="Tahoma" w:hAnsi="Tahoma" w:cs="Tahoma"/>
          <w:sz w:val="20"/>
          <w:szCs w:val="20"/>
        </w:rPr>
      </w:pPr>
      <w:r w:rsidRPr="007E6B15">
        <w:rPr>
          <w:rFonts w:ascii="Tahoma" w:hAnsi="Tahoma" w:cs="Tahoma"/>
          <w:sz w:val="20"/>
          <w:szCs w:val="20"/>
        </w:rPr>
        <w:lastRenderedPageBreak/>
        <w:t>Por lo tanto, el recurrente  ha demostrado en forma contundente que cumplió con la prestación parcial de los términos de referencia pues, se ha concluido con el plazo de sesenta (60) días con las tres prestaciones a su cargo y la cuarta y última prestación de inscripción de los cuatro terrenos en Registros Públicos, siendo que dos de ellos ya están en Registros Públicos (su inscripción depende de la institución registral) y los otros dos terrenos (terreno de otras Entidades) son pacientes de una imposibilidad factual por causa atribuible a la Entidad.</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22"/>
        </w:numPr>
        <w:ind w:left="1134" w:hanging="283"/>
        <w:jc w:val="both"/>
        <w:rPr>
          <w:rFonts w:ascii="Tahoma" w:hAnsi="Tahoma" w:cs="Tahoma"/>
          <w:sz w:val="20"/>
          <w:szCs w:val="20"/>
        </w:rPr>
      </w:pPr>
      <w:r w:rsidRPr="007E6B15">
        <w:rPr>
          <w:rFonts w:ascii="Tahoma" w:hAnsi="Tahoma" w:cs="Tahoma"/>
          <w:sz w:val="20"/>
          <w:szCs w:val="20"/>
        </w:rPr>
        <w:t>Por último, cabe precisar que la Entidad contrato un servicio de saneamiento físico legal de los terrenos de la Entidad, sobre dos terrenos que no eran de la Entidad, razón por la cual, a fin de cumplir con la inscripción de esos terrenos, era necesario la realización de actos previos por parte de la Entidad, tales como exigir las Municipalidades (donantes de los Terrenos) la independización, cambio de uso y subdivisión de sus terrenos.</w:t>
      </w:r>
    </w:p>
    <w:p w:rsidR="007E6B15" w:rsidRPr="007E6B15" w:rsidRDefault="007E6B15" w:rsidP="007E6B15">
      <w:pPr>
        <w:pStyle w:val="Prrafodelista"/>
        <w:rPr>
          <w:rFonts w:ascii="Tahoma" w:hAnsi="Tahoma" w:cs="Tahoma"/>
        </w:rPr>
      </w:pP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rPr>
        <w:t>Con decreto de fecha 19 de abril de 2011, se tuvo por apersonada al Contratista a la instancia administrativa, y se remitió el expediente a la Primera Sala del Tribunal para que resolviera.</w:t>
      </w:r>
    </w:p>
    <w:p w:rsidR="007E6B15" w:rsidRPr="007E6B15" w:rsidRDefault="007E6B15" w:rsidP="007E6B15">
      <w:pPr>
        <w:ind w:left="567"/>
        <w:rPr>
          <w:rFonts w:ascii="Tahoma" w:hAnsi="Tahoma" w:cs="Tahoma"/>
          <w:sz w:val="20"/>
          <w:szCs w:val="20"/>
        </w:rPr>
      </w:pPr>
      <w:r w:rsidRPr="007E6B15">
        <w:rPr>
          <w:rFonts w:ascii="Tahoma" w:hAnsi="Tahoma" w:cs="Tahoma"/>
          <w:sz w:val="20"/>
          <w:szCs w:val="20"/>
        </w:rPr>
        <w:t xml:space="preserve"> </w:t>
      </w:r>
    </w:p>
    <w:p w:rsidR="007E6B15" w:rsidRPr="007E6B15" w:rsidRDefault="007E6B15" w:rsidP="007E6B15">
      <w:pPr>
        <w:numPr>
          <w:ilvl w:val="0"/>
          <w:numId w:val="19"/>
        </w:numPr>
        <w:ind w:left="567" w:hanging="567"/>
        <w:jc w:val="both"/>
        <w:rPr>
          <w:rFonts w:ascii="Tahoma" w:hAnsi="Tahoma" w:cs="Tahoma"/>
          <w:sz w:val="20"/>
          <w:szCs w:val="20"/>
        </w:rPr>
      </w:pPr>
      <w:r w:rsidRPr="007E6B15">
        <w:rPr>
          <w:rFonts w:ascii="Tahoma" w:hAnsi="Tahoma" w:cs="Tahoma"/>
          <w:sz w:val="20"/>
          <w:szCs w:val="20"/>
          <w:lang w:val="es-ES_tradnl"/>
        </w:rPr>
        <w:t xml:space="preserve">A través del decreto de fecha 26 de mayo de 2011, el Tribunal programó Audiencia Pública para el 02 de junio del mismo año, </w:t>
      </w:r>
      <w:r w:rsidRPr="007E6B15">
        <w:rPr>
          <w:rFonts w:ascii="Tahoma" w:hAnsi="Tahoma" w:cs="Tahoma"/>
          <w:sz w:val="20"/>
          <w:szCs w:val="20"/>
        </w:rPr>
        <w:t>la misma que quedó frustrada por inasistencia de las partes.</w:t>
      </w:r>
    </w:p>
    <w:p w:rsidR="006E5571" w:rsidRPr="007E6B15" w:rsidRDefault="006E5571" w:rsidP="00E13E6B">
      <w:pPr>
        <w:pStyle w:val="Textoindependiente"/>
        <w:tabs>
          <w:tab w:val="left" w:pos="-2340"/>
          <w:tab w:val="left" w:pos="540"/>
        </w:tabs>
        <w:spacing w:after="0"/>
        <w:ind w:left="180" w:hanging="180"/>
        <w:jc w:val="both"/>
        <w:rPr>
          <w:rFonts w:ascii="Tahoma" w:hAnsi="Tahoma" w:cs="Tahoma"/>
          <w:b/>
          <w:sz w:val="20"/>
          <w:szCs w:val="20"/>
        </w:rPr>
      </w:pPr>
    </w:p>
    <w:p w:rsidR="00E13E6B" w:rsidRPr="007E6B15"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7E6B15">
        <w:rPr>
          <w:rFonts w:ascii="Tahoma" w:hAnsi="Tahoma" w:cs="Tahoma"/>
          <w:b/>
          <w:sz w:val="20"/>
          <w:szCs w:val="20"/>
        </w:rPr>
        <w:tab/>
      </w:r>
      <w:r w:rsidRPr="007E6B15">
        <w:rPr>
          <w:rFonts w:ascii="Tahoma" w:hAnsi="Tahoma" w:cs="Tahoma"/>
          <w:b/>
          <w:sz w:val="20"/>
          <w:szCs w:val="20"/>
        </w:rPr>
        <w:tab/>
        <w:t>FUNDAMENTACIÓN:</w:t>
      </w:r>
    </w:p>
    <w:p w:rsidR="00E13E6B" w:rsidRPr="007E6B15" w:rsidRDefault="00E13E6B" w:rsidP="00E13E6B">
      <w:pPr>
        <w:pStyle w:val="Sangradetextonormal"/>
        <w:spacing w:after="0"/>
        <w:ind w:left="0"/>
        <w:jc w:val="both"/>
        <w:rPr>
          <w:rFonts w:ascii="Tahoma" w:hAnsi="Tahoma" w:cs="Tahoma"/>
          <w:sz w:val="20"/>
          <w:szCs w:val="20"/>
        </w:rPr>
      </w:pPr>
    </w:p>
    <w:p w:rsidR="007E6B15" w:rsidRPr="007E6B15" w:rsidRDefault="007E6B15" w:rsidP="007E6B15">
      <w:pPr>
        <w:pStyle w:val="Prrafodelista"/>
        <w:numPr>
          <w:ilvl w:val="0"/>
          <w:numId w:val="4"/>
        </w:numPr>
        <w:ind w:left="567" w:hanging="567"/>
        <w:jc w:val="both"/>
        <w:rPr>
          <w:rFonts w:ascii="Tahoma" w:hAnsi="Tahoma" w:cs="Tahoma"/>
        </w:rPr>
      </w:pPr>
      <w:r w:rsidRPr="007E6B15">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7E6B15" w:rsidRPr="007E6B15" w:rsidRDefault="007E6B15" w:rsidP="007E6B15">
      <w:pPr>
        <w:pStyle w:val="Prrafodelista"/>
        <w:ind w:left="567"/>
        <w:rPr>
          <w:rFonts w:ascii="Tahoma" w:hAnsi="Tahoma" w:cs="Tahoma"/>
        </w:rPr>
      </w:pPr>
    </w:p>
    <w:p w:rsidR="007E6B15" w:rsidRPr="007E6B15" w:rsidRDefault="007E6B15" w:rsidP="007E6B15">
      <w:pPr>
        <w:pStyle w:val="Prrafodelista"/>
        <w:numPr>
          <w:ilvl w:val="0"/>
          <w:numId w:val="4"/>
        </w:numPr>
        <w:ind w:left="567" w:hanging="567"/>
        <w:jc w:val="both"/>
        <w:rPr>
          <w:rFonts w:ascii="Tahoma" w:hAnsi="Tahoma" w:cs="Tahoma"/>
        </w:rPr>
      </w:pPr>
      <w:r w:rsidRPr="007E6B15">
        <w:rPr>
          <w:rFonts w:ascii="Tahoma" w:hAnsi="Tahoma" w:cs="Tahoma"/>
        </w:rPr>
        <w:t>El presente caso está referido a la supuesta responsabilidad del Contratista por el incumplimiento injustificado de las obligaciones del Contrato № 035-2009-P-CSJJU/PJ de fecha 29 de diciembre de 2009, derivado de la Adjudicación de Menor Cuantía № 017-2009-CEP-CSJJU/PJ, primera convocatoria, supuesto de hecho del tipo legal previsto en el literal b) del numeral 51.1 del artículo 51 de la Ley</w:t>
      </w:r>
      <w:r w:rsidRPr="007E6B15">
        <w:rPr>
          <w:rStyle w:val="Refdenotaalpie"/>
          <w:rFonts w:ascii="Tahoma" w:hAnsi="Tahoma" w:cs="Tahoma"/>
        </w:rPr>
        <w:footnoteReference w:id="3"/>
      </w:r>
      <w:r w:rsidRPr="007E6B15">
        <w:rPr>
          <w:rFonts w:ascii="Tahoma" w:hAnsi="Tahoma" w:cs="Tahoma"/>
        </w:rPr>
        <w:t xml:space="preserve"> en concordancia con el literal b) del numeral 1) del artículo 237 del Reglamento</w:t>
      </w:r>
      <w:r w:rsidRPr="007E6B15">
        <w:rPr>
          <w:rStyle w:val="Refdenotaalpie"/>
          <w:rFonts w:ascii="Tahoma" w:hAnsi="Tahoma" w:cs="Tahoma"/>
        </w:rPr>
        <w:footnoteReference w:id="4"/>
      </w:r>
      <w:r w:rsidRPr="007E6B15">
        <w:rPr>
          <w:rFonts w:ascii="Tahoma" w:hAnsi="Tahoma" w:cs="Tahoma"/>
        </w:rPr>
        <w:t>, norma vigente al momento de suscitado el hecho imputado.</w:t>
      </w:r>
    </w:p>
    <w:p w:rsidR="007E6B15" w:rsidRPr="007E6B15" w:rsidRDefault="007E6B15" w:rsidP="007E6B15">
      <w:pPr>
        <w:pStyle w:val="Prrafodelista"/>
        <w:rPr>
          <w:rFonts w:ascii="Tahoma" w:hAnsi="Tahoma" w:cs="Tahoma"/>
        </w:rPr>
      </w:pPr>
    </w:p>
    <w:p w:rsidR="007E6B15" w:rsidRPr="007E6B15" w:rsidRDefault="007E6B15" w:rsidP="007E6B15">
      <w:pPr>
        <w:pStyle w:val="Prrafodelista"/>
        <w:numPr>
          <w:ilvl w:val="0"/>
          <w:numId w:val="4"/>
        </w:numPr>
        <w:ind w:left="567" w:hanging="567"/>
        <w:jc w:val="both"/>
        <w:rPr>
          <w:rFonts w:ascii="Tahoma" w:hAnsi="Tahoma" w:cs="Tahoma"/>
        </w:rPr>
      </w:pPr>
      <w:r w:rsidRPr="007E6B15">
        <w:rPr>
          <w:rFonts w:ascii="Tahoma" w:hAnsi="Tahoma" w:cs="Tahoma"/>
        </w:rPr>
        <w:lastRenderedPageBreak/>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7E6B15" w:rsidRPr="007E6B15" w:rsidRDefault="007E6B15" w:rsidP="007E6B15">
      <w:pPr>
        <w:pStyle w:val="Prrafodelista"/>
        <w:rPr>
          <w:rFonts w:ascii="Tahoma" w:hAnsi="Tahoma" w:cs="Tahoma"/>
        </w:rPr>
      </w:pPr>
    </w:p>
    <w:p w:rsidR="007E6B15" w:rsidRPr="007E6B15" w:rsidRDefault="007E6B15" w:rsidP="007E6B15">
      <w:pPr>
        <w:pStyle w:val="Prrafodelista"/>
        <w:numPr>
          <w:ilvl w:val="0"/>
          <w:numId w:val="4"/>
        </w:numPr>
        <w:ind w:left="567" w:hanging="567"/>
        <w:jc w:val="both"/>
        <w:rPr>
          <w:rFonts w:ascii="Tahoma" w:hAnsi="Tahoma" w:cs="Tahoma"/>
        </w:rPr>
      </w:pPr>
      <w:r w:rsidRPr="007E6B15">
        <w:rPr>
          <w:rFonts w:ascii="Tahoma" w:hAnsi="Tahoma" w:cs="Tahoma"/>
        </w:rPr>
        <w:t>En ese orden de ideas,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7E6B15" w:rsidRPr="007E6B15" w:rsidRDefault="007E6B15" w:rsidP="007E6B15">
      <w:pPr>
        <w:pStyle w:val="Prrafodelista"/>
        <w:rPr>
          <w:rFonts w:ascii="Tahoma" w:hAnsi="Tahoma" w:cs="Tahoma"/>
        </w:rPr>
      </w:pPr>
    </w:p>
    <w:p w:rsidR="007E6B15" w:rsidRPr="007E6B15" w:rsidRDefault="007E6B15" w:rsidP="007E6B15">
      <w:pPr>
        <w:pStyle w:val="Prrafodelista"/>
        <w:numPr>
          <w:ilvl w:val="0"/>
          <w:numId w:val="4"/>
        </w:numPr>
        <w:ind w:left="567" w:hanging="567"/>
        <w:jc w:val="both"/>
        <w:rPr>
          <w:rFonts w:ascii="Tahoma" w:hAnsi="Tahoma" w:cs="Tahoma"/>
        </w:rPr>
      </w:pPr>
      <w:r w:rsidRPr="007E6B15">
        <w:rPr>
          <w:rFonts w:ascii="Tahoma" w:hAnsi="Tahoma" w:cs="Tahoma"/>
        </w:rPr>
        <w:t xml:space="preserve">Ahora bien, 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(5) días, bajo apercibimiento de resolver el contrato. De continuar el incumplimiento contractual, la citada disposición reglamentaria precisa que la parte perjudicada comunicará notarialmente la resolución total o parcial del contrato. </w:t>
      </w:r>
    </w:p>
    <w:p w:rsidR="007E6B15" w:rsidRPr="007E6B15" w:rsidRDefault="007E6B15" w:rsidP="007E6B15">
      <w:pPr>
        <w:pStyle w:val="Prrafodelista"/>
        <w:rPr>
          <w:rFonts w:ascii="Tahoma" w:hAnsi="Tahoma" w:cs="Tahoma"/>
        </w:rPr>
      </w:pPr>
    </w:p>
    <w:p w:rsidR="007E6B15" w:rsidRPr="007E6B15" w:rsidRDefault="007E6B15" w:rsidP="007E6B15">
      <w:pPr>
        <w:pStyle w:val="Prrafodelista"/>
        <w:numPr>
          <w:ilvl w:val="0"/>
          <w:numId w:val="4"/>
        </w:numPr>
        <w:ind w:left="567" w:hanging="567"/>
        <w:jc w:val="both"/>
        <w:rPr>
          <w:rFonts w:ascii="Tahoma" w:hAnsi="Tahoma" w:cs="Tahoma"/>
        </w:rPr>
      </w:pPr>
      <w:r w:rsidRPr="007E6B15">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7E6B15" w:rsidRPr="007E6B15" w:rsidRDefault="007E6B15" w:rsidP="007E6B15">
      <w:pPr>
        <w:pStyle w:val="Prrafodelista"/>
        <w:rPr>
          <w:rFonts w:ascii="Tahoma" w:hAnsi="Tahoma" w:cs="Tahoma"/>
        </w:rPr>
      </w:pPr>
    </w:p>
    <w:p w:rsidR="007E6B15" w:rsidRPr="007E6B15" w:rsidRDefault="007E6B15" w:rsidP="007E6B15">
      <w:pPr>
        <w:pStyle w:val="Prrafodelista"/>
        <w:numPr>
          <w:ilvl w:val="0"/>
          <w:numId w:val="4"/>
        </w:numPr>
        <w:ind w:left="567" w:hanging="567"/>
        <w:jc w:val="both"/>
        <w:rPr>
          <w:rFonts w:ascii="Tahoma" w:hAnsi="Tahoma" w:cs="Tahoma"/>
        </w:rPr>
      </w:pPr>
      <w:r w:rsidRPr="007E6B15">
        <w:rPr>
          <w:rFonts w:ascii="Tahoma" w:hAnsi="Tahoma" w:cs="Tahoma"/>
        </w:rPr>
        <w:t>Este criterio, además, ha sido recogido en el Acuerdo de Sala Plena № 018/010 del 4 de setiembre de 2002</w:t>
      </w:r>
      <w:r w:rsidRPr="007E6B15">
        <w:rPr>
          <w:rStyle w:val="Refdenotaalpie"/>
          <w:rFonts w:ascii="Tahoma" w:hAnsi="Tahoma" w:cs="Tahoma"/>
        </w:rPr>
        <w:footnoteReference w:id="5"/>
      </w:r>
      <w:r w:rsidRPr="007E6B15">
        <w:rPr>
          <w:rFonts w:ascii="Tahoma" w:hAnsi="Tahoma" w:cs="Tahoma"/>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 la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7E6B15" w:rsidRPr="007E6B15" w:rsidRDefault="007E6B15" w:rsidP="007E6B15">
      <w:pPr>
        <w:pStyle w:val="Prrafodelista"/>
        <w:rPr>
          <w:rFonts w:ascii="Tahoma" w:hAnsi="Tahoma" w:cs="Tahoma"/>
        </w:rPr>
      </w:pPr>
    </w:p>
    <w:p w:rsidR="007E6B15" w:rsidRPr="007E6B15" w:rsidRDefault="007E6B15" w:rsidP="007E6B15">
      <w:pPr>
        <w:pStyle w:val="Prrafodelista"/>
        <w:numPr>
          <w:ilvl w:val="0"/>
          <w:numId w:val="4"/>
        </w:numPr>
        <w:ind w:left="567" w:hanging="567"/>
        <w:jc w:val="both"/>
        <w:rPr>
          <w:rFonts w:ascii="Tahoma" w:hAnsi="Tahoma" w:cs="Tahoma"/>
        </w:rPr>
      </w:pPr>
      <w:r w:rsidRPr="007E6B15">
        <w:rPr>
          <w:rFonts w:ascii="Tahoma" w:hAnsi="Tahoma" w:cs="Tahoma"/>
        </w:rPr>
        <w:lastRenderedPageBreak/>
        <w:t xml:space="preserve">De los antecedentes remitidos por la Entidad, se observa que la Entidad remitió al Contratista, </w:t>
      </w:r>
      <w:r w:rsidRPr="007E6B15">
        <w:rPr>
          <w:rFonts w:ascii="Tahoma" w:hAnsi="Tahoma" w:cs="Tahoma"/>
          <w:u w:val="single"/>
        </w:rPr>
        <w:t>vía conducto notarial</w:t>
      </w:r>
      <w:r w:rsidRPr="007E6B15">
        <w:rPr>
          <w:rFonts w:ascii="Tahoma" w:hAnsi="Tahoma" w:cs="Tahoma"/>
        </w:rPr>
        <w:t>, las siguientes comunicaciones:</w:t>
      </w:r>
    </w:p>
    <w:p w:rsidR="007E6B15" w:rsidRPr="007E6B15" w:rsidRDefault="007E6B15" w:rsidP="007E6B15">
      <w:pPr>
        <w:tabs>
          <w:tab w:val="left" w:pos="8280"/>
        </w:tabs>
        <w:ind w:left="567" w:hanging="567"/>
        <w:rPr>
          <w:rFonts w:ascii="Tahoma" w:hAnsi="Tahoma" w:cs="Tahoma"/>
          <w:b/>
          <w:sz w:val="20"/>
          <w:szCs w:val="20"/>
          <w:lang w:val="es-PE"/>
        </w:rPr>
      </w:pPr>
    </w:p>
    <w:p w:rsidR="007E6B15" w:rsidRPr="007E6B15" w:rsidRDefault="007E6B15" w:rsidP="007E6B15">
      <w:pPr>
        <w:numPr>
          <w:ilvl w:val="0"/>
          <w:numId w:val="31"/>
        </w:numPr>
        <w:ind w:left="1276" w:hanging="425"/>
        <w:jc w:val="both"/>
        <w:rPr>
          <w:rFonts w:ascii="Tahoma" w:hAnsi="Tahoma" w:cs="Tahoma"/>
          <w:sz w:val="20"/>
          <w:szCs w:val="20"/>
        </w:rPr>
      </w:pPr>
      <w:r w:rsidRPr="007E6B15">
        <w:rPr>
          <w:rFonts w:ascii="Tahoma" w:hAnsi="Tahoma" w:cs="Tahoma"/>
          <w:sz w:val="20"/>
          <w:szCs w:val="20"/>
        </w:rPr>
        <w:t>Mediante Carta Notarial № 001-2010-P-CSJJU/PJ de fecha 11 de marzo de 2010, diligenciada el 24 del mismo mes y año, la Entidad comunicó al Contratista que, habiéndose vencido el plazo del servicio contratado, se le otorgaba el plazo de cinco (5) días calendario para que cumpla con la inscripción definitiva de los terrenos de la Entidad, conforme a las requerimientos técnicos de las Bases, bajo apercibimiento de proceder a la resolución contractual.</w:t>
      </w:r>
    </w:p>
    <w:p w:rsidR="007E6B15" w:rsidRPr="007E6B15" w:rsidRDefault="007E6B15" w:rsidP="007E6B15">
      <w:pPr>
        <w:pStyle w:val="Prrafodelista"/>
        <w:ind w:left="1276" w:hanging="425"/>
        <w:rPr>
          <w:rFonts w:ascii="Tahoma" w:hAnsi="Tahoma" w:cs="Tahoma"/>
        </w:rPr>
      </w:pPr>
    </w:p>
    <w:p w:rsidR="007E6B15" w:rsidRPr="007E6B15" w:rsidRDefault="007E6B15" w:rsidP="007E6B15">
      <w:pPr>
        <w:numPr>
          <w:ilvl w:val="0"/>
          <w:numId w:val="31"/>
        </w:numPr>
        <w:ind w:left="1276" w:hanging="425"/>
        <w:jc w:val="both"/>
        <w:rPr>
          <w:rFonts w:ascii="Tahoma" w:hAnsi="Tahoma" w:cs="Tahoma"/>
          <w:sz w:val="20"/>
          <w:szCs w:val="20"/>
        </w:rPr>
      </w:pPr>
      <w:r w:rsidRPr="007E6B15">
        <w:rPr>
          <w:rFonts w:ascii="Tahoma" w:hAnsi="Tahoma" w:cs="Tahoma"/>
          <w:sz w:val="20"/>
          <w:szCs w:val="20"/>
        </w:rPr>
        <w:t>Asimismo, y al persistir el incumplimiento, a través de la Carta Notarial № 002-2010-P-CSJJU/PJ de fecha 29 de marzo de 2010, diligenciada el 15 de abril del mismo año, la Entidad comunicó al Contratista que, al no haber cumplido con sus obligaciones contractuales, procedía a resolver el Contrato № 035-2009-P-CSJJU/PJ; por causal atribuible a su parte.</w:t>
      </w:r>
    </w:p>
    <w:p w:rsidR="007E6B15" w:rsidRPr="007E6B15" w:rsidRDefault="007E6B15" w:rsidP="007E6B15">
      <w:pPr>
        <w:ind w:left="1287" w:hanging="578"/>
        <w:rPr>
          <w:rFonts w:ascii="Tahoma" w:hAnsi="Tahoma" w:cs="Tahoma"/>
          <w:sz w:val="20"/>
          <w:szCs w:val="20"/>
        </w:rPr>
      </w:pPr>
    </w:p>
    <w:p w:rsidR="007E6B15" w:rsidRPr="007E6B15" w:rsidRDefault="007E6B15" w:rsidP="007E6B15">
      <w:pPr>
        <w:pStyle w:val="Prrafodelista"/>
        <w:numPr>
          <w:ilvl w:val="0"/>
          <w:numId w:val="4"/>
        </w:numPr>
        <w:ind w:left="567" w:hanging="567"/>
        <w:jc w:val="both"/>
        <w:rPr>
          <w:rFonts w:ascii="Tahoma" w:hAnsi="Tahoma" w:cs="Tahoma"/>
        </w:rPr>
      </w:pPr>
      <w:r w:rsidRPr="007E6B15">
        <w:rPr>
          <w:rFonts w:ascii="Tahoma" w:hAnsi="Tahoma" w:cs="Tahoma"/>
        </w:rPr>
        <w:t>En tal sentido, se verifica que la Entidad ha observado la formalidad de comunicar dos cartas notariales para la resolución del contrato, siendo la primera carta notarial de requerimiento al Contratista</w:t>
      </w:r>
      <w:r w:rsidRPr="007E6B15">
        <w:rPr>
          <w:rFonts w:ascii="Tahoma" w:hAnsi="Tahoma" w:cs="Tahoma"/>
          <w:bCs/>
        </w:rPr>
        <w:t xml:space="preserve"> p</w:t>
      </w:r>
      <w:r w:rsidRPr="007E6B15">
        <w:rPr>
          <w:rFonts w:ascii="Tahoma" w:hAnsi="Tahoma" w:cs="Tahoma"/>
        </w:rPr>
        <w:t>ara el cumplimiento de sus obligaciones y la segunda carta notarial de resolución del contrato.</w:t>
      </w:r>
    </w:p>
    <w:p w:rsidR="007E6B15" w:rsidRPr="007E6B15" w:rsidRDefault="007E6B15" w:rsidP="007E6B15">
      <w:pPr>
        <w:pStyle w:val="Prrafodelista"/>
        <w:rPr>
          <w:rFonts w:ascii="Tahoma" w:hAnsi="Tahoma" w:cs="Tahoma"/>
        </w:rPr>
      </w:pPr>
    </w:p>
    <w:p w:rsidR="007E6B15" w:rsidRPr="007E6B15" w:rsidRDefault="007E6B15" w:rsidP="007E6B15">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7E6B15">
        <w:rPr>
          <w:rFonts w:ascii="Tahoma" w:hAnsi="Tahoma" w:cs="Tahoma"/>
          <w:sz w:val="20"/>
          <w:szCs w:val="20"/>
        </w:rPr>
        <w:t>Así, también, cabe recalcar que de acuerdo a lo establecido por la norma aplicable, las controversias que surjan entre las partes sobre la ejecución, interpretación, resolución, inexistencia, ineficacia o invalidez del contrato se resolverán mediante conciliación y/o arbitraje, según el acuerdo de las partes, siendo que la parte que se tiene por afectada, tiene el derecho de solicitar su inicio</w:t>
      </w:r>
      <w:r w:rsidRPr="007E6B15">
        <w:rPr>
          <w:rStyle w:val="Refdenotaalpie"/>
          <w:rFonts w:ascii="Tahoma" w:eastAsia="Calibri" w:hAnsi="Tahoma" w:cs="Tahoma"/>
          <w:sz w:val="20"/>
          <w:szCs w:val="20"/>
        </w:rPr>
        <w:footnoteReference w:id="6"/>
      </w:r>
      <w:r w:rsidRPr="007E6B15">
        <w:rPr>
          <w:rFonts w:ascii="Tahoma" w:hAnsi="Tahoma" w:cs="Tahoma"/>
          <w:sz w:val="20"/>
          <w:szCs w:val="20"/>
        </w:rPr>
        <w:t>.  Entonces, considerando que la Entidad en su Oficio № 2954-2010-A-CSJJU/PJ, señaló que el Contratista no solicitó discutir la resolución del contrato dentro de los plazos establecidos en la norma conforme a su derecho, debe entenderse que la misma quedó consentida.</w:t>
      </w:r>
    </w:p>
    <w:p w:rsidR="007E6B15" w:rsidRPr="007E6B15" w:rsidRDefault="007E6B15" w:rsidP="007E6B15">
      <w:pPr>
        <w:pStyle w:val="Prrafodelista"/>
        <w:rPr>
          <w:rFonts w:ascii="Tahoma" w:hAnsi="Tahoma" w:cs="Tahoma"/>
        </w:rPr>
      </w:pPr>
    </w:p>
    <w:p w:rsidR="007E6B15" w:rsidRPr="007E6B15" w:rsidRDefault="007E6B15" w:rsidP="007E6B15">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7E6B15">
        <w:rPr>
          <w:rFonts w:ascii="Tahoma" w:hAnsi="Tahoma" w:cs="Tahoma"/>
          <w:sz w:val="20"/>
          <w:szCs w:val="20"/>
        </w:rPr>
        <w:t>Habiendo dilucidado el aspecto formal y procedimental de la resolución contractual bajo examen</w:t>
      </w:r>
      <w:r w:rsidRPr="007E6B15">
        <w:rPr>
          <w:rFonts w:ascii="Tahoma" w:hAnsi="Tahoma" w:cs="Tahoma"/>
          <w:sz w:val="20"/>
          <w:szCs w:val="20"/>
          <w:lang w:val="es-PE"/>
        </w:rPr>
        <w:t xml:space="preserve">, corresponde determinar si el Contratista es responsable de dicha resolución por el incumplimiento injustificado de sus obligaciones contractuales, ya que </w:t>
      </w:r>
      <w:r w:rsidRPr="007E6B15">
        <w:rPr>
          <w:rFonts w:ascii="Tahoma" w:hAnsi="Tahoma" w:cs="Tahoma"/>
          <w:sz w:val="20"/>
          <w:szCs w:val="20"/>
        </w:rPr>
        <w:t>en el supuesto de haberse producido por razones de caso fortuito o fuerza mayor, nos encontraríamos ante una causa justificante de la inejecución de las prestaciones a su cargo.</w:t>
      </w:r>
    </w:p>
    <w:p w:rsidR="007E6B15" w:rsidRPr="007E6B15" w:rsidRDefault="007E6B15" w:rsidP="007E6B15">
      <w:pPr>
        <w:pStyle w:val="Prrafodelista"/>
        <w:rPr>
          <w:rFonts w:ascii="Tahoma" w:hAnsi="Tahoma" w:cs="Tahoma"/>
        </w:rPr>
      </w:pPr>
    </w:p>
    <w:p w:rsidR="007E6B15" w:rsidRPr="007E6B15" w:rsidRDefault="007E6B15" w:rsidP="007E6B15">
      <w:pPr>
        <w:pStyle w:val="Prrafodelista"/>
        <w:numPr>
          <w:ilvl w:val="0"/>
          <w:numId w:val="4"/>
        </w:numPr>
        <w:ind w:left="567" w:hanging="567"/>
        <w:jc w:val="both"/>
        <w:rPr>
          <w:rFonts w:ascii="Tahoma" w:hAnsi="Tahoma" w:cs="Tahoma"/>
        </w:rPr>
      </w:pPr>
      <w:r w:rsidRPr="007E6B15">
        <w:rPr>
          <w:rFonts w:ascii="Tahoma" w:hAnsi="Tahoma" w:cs="Tahoma"/>
        </w:rPr>
        <w:t xml:space="preserve">Así, pues, conforme a lo establecido en el artículo 49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142 del Reglamento prevé que el contrato es obligatorio para las partes que lo suscriben. </w:t>
      </w:r>
    </w:p>
    <w:p w:rsidR="007E6B15" w:rsidRPr="007E6B15" w:rsidRDefault="007E6B15" w:rsidP="007E6B15">
      <w:pPr>
        <w:pStyle w:val="Prrafodelista"/>
        <w:ind w:left="567"/>
        <w:rPr>
          <w:rFonts w:ascii="Tahoma" w:hAnsi="Tahoma" w:cs="Tahoma"/>
        </w:rPr>
      </w:pPr>
    </w:p>
    <w:p w:rsidR="007E6B15" w:rsidRPr="007E6B15" w:rsidRDefault="007E6B15" w:rsidP="007E6B15">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7E6B15">
        <w:rPr>
          <w:rFonts w:ascii="Tahoma" w:hAnsi="Tahoma" w:cs="Tahoma"/>
          <w:sz w:val="20"/>
          <w:szCs w:val="20"/>
        </w:rPr>
        <w:lastRenderedPageBreak/>
        <w:t>Ahora bien, la Entidad con ocasión a la denuncia efectuada contra el Contratista informó que éste, pese a haber tomado conocimiento de las observaciones planteadas por la Entidad, referidas al incumplimiento de sus obligaciones contractuales, no habría cumplido con la presentación de los expedientes a fin de inscribir los terrenos en la Superintendencia Nacional de los Registros Públicos (SUNARP), hecho que ha desencadenado la resolución del Contrato № 035-2009-P-CSJJU/PJ.</w:t>
      </w:r>
    </w:p>
    <w:p w:rsidR="007E6B15" w:rsidRPr="007E6B15" w:rsidRDefault="007E6B15" w:rsidP="007E6B15">
      <w:pPr>
        <w:pStyle w:val="Prrafodelista"/>
        <w:rPr>
          <w:rFonts w:ascii="Tahoma" w:hAnsi="Tahoma" w:cs="Tahoma"/>
        </w:rPr>
      </w:pPr>
    </w:p>
    <w:p w:rsidR="004A2DC1" w:rsidRDefault="007E6B15" w:rsidP="004A2DC1">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7E6B15">
        <w:rPr>
          <w:rFonts w:ascii="Tahoma" w:hAnsi="Tahoma" w:cs="Tahoma"/>
          <w:sz w:val="20"/>
          <w:szCs w:val="20"/>
        </w:rPr>
        <w:t>Sobre la base de lo expuesto, y en virtud al derecho de defensa que ampara a los administrados, el Contratista manifestó que había concluido satisfactoriamente con la elaboración de los planos de levantamiento topográfico, ubicación y localización, así como las memorias descriptivas de los terrenos ubicados en los distritos de San Martin de Pangoa, Pichanaki, Pampa del Carmen y Satipo.</w:t>
      </w:r>
    </w:p>
    <w:p w:rsidR="004A2DC1" w:rsidRDefault="004A2DC1" w:rsidP="004A2DC1">
      <w:pPr>
        <w:pStyle w:val="Prrafodelista"/>
        <w:rPr>
          <w:rFonts w:ascii="Tahoma" w:hAnsi="Tahoma" w:cs="Tahoma"/>
        </w:rPr>
      </w:pPr>
    </w:p>
    <w:p w:rsidR="004A2DC1" w:rsidRDefault="007E6B15" w:rsidP="004A2DC1">
      <w:pPr>
        <w:pStyle w:val="Textoindependiente"/>
        <w:widowControl w:val="0"/>
        <w:suppressAutoHyphens/>
        <w:spacing w:after="0"/>
        <w:ind w:left="567"/>
        <w:jc w:val="both"/>
        <w:rPr>
          <w:rFonts w:ascii="Tahoma" w:hAnsi="Tahoma" w:cs="Tahoma"/>
          <w:sz w:val="20"/>
          <w:szCs w:val="20"/>
        </w:rPr>
      </w:pPr>
      <w:r w:rsidRPr="004A2DC1">
        <w:rPr>
          <w:rFonts w:ascii="Tahoma" w:hAnsi="Tahoma" w:cs="Tahoma"/>
          <w:sz w:val="20"/>
          <w:szCs w:val="20"/>
        </w:rPr>
        <w:t>Asimismo, el Contratista señaló que en el desarrollo de las gestiones necesarias a fin de inscribir los terrenos de la Entidad se tomo conocimiento que los terrenos ubicados en los distritos de Satipo y Pampa del Carmen no habían sido transferidos a la Entidad e incluso no se encontraban subdividas, ni independizadas por las Municipalidades que se comprometieron a donar dichos terrenos, razón por la cual, a fin de cumplir con la inscripción de esos terrenos, era necesario la realización de actos previos por parte de la Entidad, tales como exigir a las Municipalidades (donantes de los Terrenos) la  transferencia, independización, cambio de uso y subdivisión de sus terrenos.</w:t>
      </w:r>
    </w:p>
    <w:p w:rsidR="004A2DC1" w:rsidRPr="004A2DC1" w:rsidRDefault="004A2DC1" w:rsidP="004A2DC1">
      <w:pPr>
        <w:pStyle w:val="Prrafodelista"/>
        <w:rPr>
          <w:rFonts w:ascii="Tahoma" w:hAnsi="Tahoma" w:cs="Tahoma"/>
          <w:sz w:val="23"/>
          <w:szCs w:val="23"/>
        </w:rPr>
      </w:pPr>
    </w:p>
    <w:p w:rsidR="004A2DC1" w:rsidRDefault="007E6B15" w:rsidP="004A2DC1">
      <w:pPr>
        <w:pStyle w:val="Textoindependiente"/>
        <w:widowControl w:val="0"/>
        <w:suppressAutoHyphens/>
        <w:spacing w:after="0"/>
        <w:ind w:left="567"/>
        <w:jc w:val="both"/>
        <w:rPr>
          <w:rFonts w:ascii="Tahoma" w:hAnsi="Tahoma" w:cs="Tahoma"/>
          <w:sz w:val="20"/>
          <w:szCs w:val="20"/>
        </w:rPr>
      </w:pPr>
      <w:r w:rsidRPr="004A2DC1">
        <w:rPr>
          <w:rFonts w:ascii="Tahoma" w:hAnsi="Tahoma" w:cs="Tahoma"/>
          <w:sz w:val="20"/>
          <w:szCs w:val="20"/>
        </w:rPr>
        <w:t>Del mismo modo, el Contratista señaló que la inscripción de los terrenos ubicados en los distritos de San Martin de Pangoa y Pichanaki dependía de los plazos de la Entidad Registral.</w:t>
      </w:r>
    </w:p>
    <w:p w:rsidR="004A2DC1" w:rsidRDefault="004A2DC1" w:rsidP="004A2DC1">
      <w:pPr>
        <w:pStyle w:val="Textoindependiente"/>
        <w:widowControl w:val="0"/>
        <w:suppressAutoHyphens/>
        <w:spacing w:after="0"/>
        <w:ind w:left="567"/>
        <w:jc w:val="both"/>
        <w:rPr>
          <w:rFonts w:ascii="Tahoma" w:hAnsi="Tahoma" w:cs="Tahoma"/>
          <w:sz w:val="20"/>
          <w:szCs w:val="20"/>
        </w:rPr>
      </w:pPr>
    </w:p>
    <w:p w:rsidR="004A2DC1" w:rsidRDefault="007E6B15" w:rsidP="004A2DC1">
      <w:pPr>
        <w:pStyle w:val="Textoindependiente"/>
        <w:widowControl w:val="0"/>
        <w:suppressAutoHyphens/>
        <w:spacing w:after="0"/>
        <w:ind w:left="567"/>
        <w:jc w:val="both"/>
        <w:rPr>
          <w:rFonts w:ascii="Tahoma" w:hAnsi="Tahoma" w:cs="Tahoma"/>
          <w:sz w:val="20"/>
          <w:szCs w:val="20"/>
        </w:rPr>
      </w:pPr>
      <w:r w:rsidRPr="004A2DC1">
        <w:rPr>
          <w:rFonts w:ascii="Tahoma" w:hAnsi="Tahoma" w:cs="Tahoma"/>
          <w:sz w:val="20"/>
          <w:szCs w:val="20"/>
        </w:rPr>
        <w:t>Adicionalmente a ello, el Contratista indicó que había cumplido con los términos de referencia pues, se había concluido dentro del plazo de sesenta (60) días con las tres primeras prestaciones a su cargo, ya que la cuarta y la última prestación de inscripción de los cuatro terrenos en Registros Públicos, dependían de la Institución Registral y los otros dos (Satipo y Pampa del Carmen) son pacientes de una imposibilidad factual por causa atribuible a la Entidad, pues estos no eran terrenos de la Entidad.</w:t>
      </w:r>
    </w:p>
    <w:p w:rsidR="004A2DC1" w:rsidRDefault="004A2DC1" w:rsidP="004A2DC1">
      <w:pPr>
        <w:pStyle w:val="Prrafodelista"/>
        <w:rPr>
          <w:rFonts w:ascii="Tahoma" w:hAnsi="Tahoma" w:cs="Tahoma"/>
        </w:rPr>
      </w:pPr>
    </w:p>
    <w:p w:rsidR="007E6B15" w:rsidRPr="004A2DC1" w:rsidRDefault="007E6B15" w:rsidP="004A2DC1">
      <w:pPr>
        <w:pStyle w:val="Textoindependiente"/>
        <w:widowControl w:val="0"/>
        <w:suppressAutoHyphens/>
        <w:spacing w:after="0"/>
        <w:ind w:left="567"/>
        <w:jc w:val="both"/>
        <w:rPr>
          <w:rFonts w:ascii="Tahoma" w:hAnsi="Tahoma" w:cs="Tahoma"/>
          <w:sz w:val="20"/>
          <w:szCs w:val="20"/>
        </w:rPr>
      </w:pPr>
      <w:r w:rsidRPr="004A2DC1">
        <w:rPr>
          <w:rFonts w:ascii="Tahoma" w:hAnsi="Tahoma" w:cs="Tahoma"/>
          <w:sz w:val="20"/>
          <w:szCs w:val="20"/>
        </w:rPr>
        <w:t>Finalmente, el Contratista manifestó, que la Entidad debió otorgarle se la  Conformidad del servicio, ello en la medida, que había cumplido con sus obligaciones contractuales.</w:t>
      </w:r>
    </w:p>
    <w:p w:rsidR="007E6B15" w:rsidRPr="007E6B15" w:rsidRDefault="007E6B15" w:rsidP="007E6B15">
      <w:pPr>
        <w:pStyle w:val="Textoindependiente"/>
        <w:widowControl w:val="0"/>
        <w:suppressAutoHyphens/>
        <w:ind w:left="567"/>
        <w:rPr>
          <w:rFonts w:ascii="Tahoma" w:hAnsi="Tahoma" w:cs="Tahoma"/>
          <w:sz w:val="20"/>
          <w:szCs w:val="20"/>
        </w:rPr>
      </w:pPr>
    </w:p>
    <w:p w:rsidR="007E6B15" w:rsidRPr="007E6B15" w:rsidRDefault="007E6B15" w:rsidP="007E6B15">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7E6B15">
        <w:rPr>
          <w:rFonts w:ascii="Tahoma" w:hAnsi="Tahoma" w:cs="Tahoma"/>
          <w:sz w:val="20"/>
          <w:szCs w:val="20"/>
        </w:rPr>
        <w:t>En cuanto a los argumentos esbozados por el Contratista, resulta necesario tener en consideración que el objeto del Contrato № 035-2009-P-CSJJU/PJ de fecha 29 de diciembre de 2009, era el servicio de saneamiento físico legal de los terrenos de la Entidad. Así, pues, en la Cláusula Segunda del citado contrato se consignó que el Contratista se comprometía a cumplir el servicio, de acuerdo a lo estipulado en las Bases Administrativas de la Adjudicación de Menor Cuantía № 017-2009-CEP-CSJJU/PJ.</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7E6B15">
        <w:rPr>
          <w:rFonts w:ascii="Tahoma" w:hAnsi="Tahoma" w:cs="Tahoma"/>
          <w:sz w:val="20"/>
          <w:szCs w:val="20"/>
        </w:rPr>
        <w:t>En ese sentido, conviene traer a colación que, el numeral 2 del Capítulo III de las Bases Administrativas del referido proceso de selección, estableció que la situación geográfica de los terrenos a sanear estaban ubicados en los siguientes lugares:</w:t>
      </w:r>
    </w:p>
    <w:p w:rsidR="007E6B15" w:rsidRPr="007E6B15" w:rsidRDefault="007E6B15" w:rsidP="007E6B15">
      <w:pPr>
        <w:rPr>
          <w:rFonts w:ascii="Tahoma" w:hAnsi="Tahoma" w:cs="Tahoma"/>
          <w:sz w:val="20"/>
          <w:szCs w:val="20"/>
        </w:rPr>
      </w:pPr>
    </w:p>
    <w:tbl>
      <w:tblPr>
        <w:tblStyle w:val="Tablaconcuadrcula"/>
        <w:tblW w:w="7655" w:type="dxa"/>
        <w:tblInd w:w="817" w:type="dxa"/>
        <w:tblLayout w:type="fixed"/>
        <w:tblLook w:val="01E0"/>
      </w:tblPr>
      <w:tblGrid>
        <w:gridCol w:w="284"/>
        <w:gridCol w:w="1842"/>
        <w:gridCol w:w="1276"/>
        <w:gridCol w:w="1418"/>
        <w:gridCol w:w="1417"/>
        <w:gridCol w:w="1418"/>
      </w:tblGrid>
      <w:tr w:rsidR="007E6B15" w:rsidRPr="007E6B15" w:rsidTr="00F84BC8">
        <w:trPr>
          <w:trHeight w:val="469"/>
        </w:trPr>
        <w:tc>
          <w:tcPr>
            <w:tcW w:w="284" w:type="dxa"/>
            <w:shd w:val="clear" w:color="auto" w:fill="404040" w:themeFill="text1" w:themeFillTint="BF"/>
            <w:vAlign w:val="center"/>
          </w:tcPr>
          <w:p w:rsidR="007E6B15" w:rsidRPr="004A2DC1" w:rsidRDefault="007E6B15" w:rsidP="00F84BC8">
            <w:pPr>
              <w:jc w:val="center"/>
              <w:rPr>
                <w:rFonts w:ascii="Tahoma" w:hAnsi="Tahoma" w:cs="Tahoma"/>
                <w:b/>
                <w:bCs/>
                <w:sz w:val="16"/>
                <w:szCs w:val="16"/>
              </w:rPr>
            </w:pPr>
            <w:r w:rsidRPr="004A2DC1">
              <w:rPr>
                <w:rFonts w:ascii="Tahoma" w:hAnsi="Tahoma" w:cs="Tahoma"/>
                <w:b/>
                <w:bCs/>
                <w:sz w:val="16"/>
                <w:szCs w:val="16"/>
              </w:rPr>
              <w:t>ITEM</w:t>
            </w:r>
          </w:p>
        </w:tc>
        <w:tc>
          <w:tcPr>
            <w:tcW w:w="1842" w:type="dxa"/>
            <w:shd w:val="clear" w:color="auto" w:fill="404040" w:themeFill="text1" w:themeFillTint="BF"/>
            <w:vAlign w:val="center"/>
          </w:tcPr>
          <w:p w:rsidR="007E6B15" w:rsidRPr="004A2DC1" w:rsidRDefault="007E6B15" w:rsidP="00F84BC8">
            <w:pPr>
              <w:jc w:val="center"/>
              <w:rPr>
                <w:rFonts w:ascii="Tahoma" w:hAnsi="Tahoma" w:cs="Tahoma"/>
                <w:b/>
                <w:bCs/>
                <w:sz w:val="16"/>
                <w:szCs w:val="16"/>
              </w:rPr>
            </w:pPr>
            <w:r w:rsidRPr="004A2DC1">
              <w:rPr>
                <w:rFonts w:ascii="Tahoma" w:hAnsi="Tahoma" w:cs="Tahoma"/>
                <w:b/>
                <w:bCs/>
                <w:sz w:val="16"/>
                <w:szCs w:val="16"/>
              </w:rPr>
              <w:t>DIRECCION</w:t>
            </w:r>
          </w:p>
        </w:tc>
        <w:tc>
          <w:tcPr>
            <w:tcW w:w="1276" w:type="dxa"/>
            <w:shd w:val="clear" w:color="auto" w:fill="404040" w:themeFill="text1" w:themeFillTint="BF"/>
            <w:vAlign w:val="center"/>
          </w:tcPr>
          <w:p w:rsidR="007E6B15" w:rsidRPr="004A2DC1" w:rsidRDefault="007E6B15" w:rsidP="00F84BC8">
            <w:pPr>
              <w:jc w:val="center"/>
              <w:rPr>
                <w:rFonts w:ascii="Tahoma" w:hAnsi="Tahoma" w:cs="Tahoma"/>
                <w:b/>
                <w:bCs/>
                <w:sz w:val="16"/>
                <w:szCs w:val="16"/>
              </w:rPr>
            </w:pPr>
            <w:r w:rsidRPr="004A2DC1">
              <w:rPr>
                <w:rFonts w:ascii="Tahoma" w:hAnsi="Tahoma" w:cs="Tahoma"/>
                <w:b/>
                <w:bCs/>
                <w:sz w:val="16"/>
                <w:szCs w:val="16"/>
              </w:rPr>
              <w:t>DISTRITO</w:t>
            </w:r>
          </w:p>
        </w:tc>
        <w:tc>
          <w:tcPr>
            <w:tcW w:w="1418" w:type="dxa"/>
            <w:shd w:val="clear" w:color="auto" w:fill="404040" w:themeFill="text1" w:themeFillTint="BF"/>
            <w:vAlign w:val="center"/>
          </w:tcPr>
          <w:p w:rsidR="007E6B15" w:rsidRPr="004A2DC1" w:rsidRDefault="007E6B15" w:rsidP="00F84BC8">
            <w:pPr>
              <w:jc w:val="center"/>
              <w:rPr>
                <w:rFonts w:ascii="Tahoma" w:hAnsi="Tahoma" w:cs="Tahoma"/>
                <w:b/>
                <w:bCs/>
                <w:sz w:val="16"/>
                <w:szCs w:val="16"/>
              </w:rPr>
            </w:pPr>
            <w:r w:rsidRPr="004A2DC1">
              <w:rPr>
                <w:rFonts w:ascii="Tahoma" w:hAnsi="Tahoma" w:cs="Tahoma"/>
                <w:b/>
                <w:bCs/>
                <w:sz w:val="16"/>
                <w:szCs w:val="16"/>
              </w:rPr>
              <w:t>PROVINCIA</w:t>
            </w:r>
          </w:p>
        </w:tc>
        <w:tc>
          <w:tcPr>
            <w:tcW w:w="1417" w:type="dxa"/>
            <w:shd w:val="clear" w:color="auto" w:fill="404040" w:themeFill="text1" w:themeFillTint="BF"/>
            <w:vAlign w:val="center"/>
          </w:tcPr>
          <w:p w:rsidR="007E6B15" w:rsidRPr="004A2DC1" w:rsidRDefault="007E6B15" w:rsidP="00F84BC8">
            <w:pPr>
              <w:jc w:val="center"/>
              <w:rPr>
                <w:rFonts w:ascii="Tahoma" w:hAnsi="Tahoma" w:cs="Tahoma"/>
                <w:b/>
                <w:bCs/>
                <w:sz w:val="16"/>
                <w:szCs w:val="16"/>
              </w:rPr>
            </w:pPr>
            <w:r w:rsidRPr="004A2DC1">
              <w:rPr>
                <w:rFonts w:ascii="Tahoma" w:hAnsi="Tahoma" w:cs="Tahoma"/>
                <w:b/>
                <w:bCs/>
                <w:sz w:val="16"/>
                <w:szCs w:val="16"/>
              </w:rPr>
              <w:t>AREA</w:t>
            </w:r>
          </w:p>
        </w:tc>
        <w:tc>
          <w:tcPr>
            <w:tcW w:w="1418" w:type="dxa"/>
            <w:shd w:val="clear" w:color="auto" w:fill="404040" w:themeFill="text1" w:themeFillTint="BF"/>
            <w:vAlign w:val="center"/>
          </w:tcPr>
          <w:p w:rsidR="007E6B15" w:rsidRPr="004A2DC1" w:rsidRDefault="007E6B15" w:rsidP="00F84BC8">
            <w:pPr>
              <w:jc w:val="center"/>
              <w:rPr>
                <w:rFonts w:ascii="Tahoma" w:hAnsi="Tahoma" w:cs="Tahoma"/>
                <w:b/>
                <w:bCs/>
                <w:sz w:val="16"/>
                <w:szCs w:val="16"/>
              </w:rPr>
            </w:pPr>
            <w:r w:rsidRPr="004A2DC1">
              <w:rPr>
                <w:rFonts w:ascii="Tahoma" w:hAnsi="Tahoma" w:cs="Tahoma"/>
                <w:b/>
                <w:bCs/>
                <w:sz w:val="16"/>
                <w:szCs w:val="16"/>
              </w:rPr>
              <w:t>DEPARTAMENTO</w:t>
            </w:r>
          </w:p>
        </w:tc>
      </w:tr>
      <w:tr w:rsidR="007E6B15" w:rsidRPr="007E6B15" w:rsidTr="00F84BC8">
        <w:tc>
          <w:tcPr>
            <w:tcW w:w="284"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1</w:t>
            </w:r>
          </w:p>
        </w:tc>
        <w:tc>
          <w:tcPr>
            <w:tcW w:w="1842"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Av. España s/n MZ 28 S. Lt 01 Y 02</w:t>
            </w:r>
          </w:p>
        </w:tc>
        <w:tc>
          <w:tcPr>
            <w:tcW w:w="1276"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S.M. Pangoa</w:t>
            </w:r>
          </w:p>
        </w:tc>
        <w:tc>
          <w:tcPr>
            <w:tcW w:w="1418"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Satipo</w:t>
            </w:r>
          </w:p>
        </w:tc>
        <w:tc>
          <w:tcPr>
            <w:tcW w:w="1417" w:type="dxa"/>
            <w:vAlign w:val="center"/>
          </w:tcPr>
          <w:p w:rsidR="007E6B15" w:rsidRPr="004A2DC1" w:rsidRDefault="007E6B15" w:rsidP="00F84BC8">
            <w:pPr>
              <w:jc w:val="center"/>
              <w:rPr>
                <w:rFonts w:ascii="Tahoma" w:hAnsi="Tahoma" w:cs="Tahoma"/>
                <w:bCs/>
                <w:sz w:val="16"/>
                <w:szCs w:val="16"/>
              </w:rPr>
            </w:pPr>
            <w:smartTag w:uri="urn:schemas-microsoft-com:office:smarttags" w:element="metricconverter">
              <w:smartTagPr>
                <w:attr w:name="ProductID" w:val="800 mﾲ"/>
              </w:smartTagPr>
              <w:r w:rsidRPr="004A2DC1">
                <w:rPr>
                  <w:rFonts w:ascii="Tahoma" w:hAnsi="Tahoma" w:cs="Tahoma"/>
                  <w:bCs/>
                  <w:sz w:val="16"/>
                  <w:szCs w:val="16"/>
                </w:rPr>
                <w:t>800 m²</w:t>
              </w:r>
            </w:smartTag>
          </w:p>
        </w:tc>
        <w:tc>
          <w:tcPr>
            <w:tcW w:w="1418"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Junín</w:t>
            </w:r>
          </w:p>
        </w:tc>
      </w:tr>
      <w:tr w:rsidR="007E6B15" w:rsidRPr="007E6B15" w:rsidTr="00F84BC8">
        <w:tc>
          <w:tcPr>
            <w:tcW w:w="284"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2</w:t>
            </w:r>
          </w:p>
        </w:tc>
        <w:tc>
          <w:tcPr>
            <w:tcW w:w="1842"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Av. Micaela Bastidas Mz S</w:t>
            </w:r>
          </w:p>
        </w:tc>
        <w:tc>
          <w:tcPr>
            <w:tcW w:w="1276"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Pichanaki</w:t>
            </w:r>
          </w:p>
        </w:tc>
        <w:tc>
          <w:tcPr>
            <w:tcW w:w="1418"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Chanchamayo</w:t>
            </w:r>
          </w:p>
        </w:tc>
        <w:tc>
          <w:tcPr>
            <w:tcW w:w="1417" w:type="dxa"/>
            <w:vAlign w:val="center"/>
          </w:tcPr>
          <w:p w:rsidR="007E6B15" w:rsidRPr="004A2DC1" w:rsidRDefault="007E6B15" w:rsidP="00F84BC8">
            <w:pPr>
              <w:jc w:val="center"/>
              <w:rPr>
                <w:rFonts w:ascii="Tahoma" w:hAnsi="Tahoma" w:cs="Tahoma"/>
                <w:bCs/>
                <w:sz w:val="16"/>
                <w:szCs w:val="16"/>
              </w:rPr>
            </w:pPr>
            <w:smartTag w:uri="urn:schemas-microsoft-com:office:smarttags" w:element="metricconverter">
              <w:smartTagPr>
                <w:attr w:name="ProductID" w:val="200 mﾲ"/>
              </w:smartTagPr>
              <w:r w:rsidRPr="004A2DC1">
                <w:rPr>
                  <w:rFonts w:ascii="Tahoma" w:hAnsi="Tahoma" w:cs="Tahoma"/>
                  <w:bCs/>
                  <w:sz w:val="16"/>
                  <w:szCs w:val="16"/>
                </w:rPr>
                <w:t>200 m²</w:t>
              </w:r>
            </w:smartTag>
          </w:p>
        </w:tc>
        <w:tc>
          <w:tcPr>
            <w:tcW w:w="1418"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Junín</w:t>
            </w:r>
          </w:p>
        </w:tc>
      </w:tr>
      <w:tr w:rsidR="007E6B15" w:rsidRPr="007E6B15" w:rsidTr="00F84BC8">
        <w:tc>
          <w:tcPr>
            <w:tcW w:w="284"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3</w:t>
            </w:r>
          </w:p>
        </w:tc>
        <w:tc>
          <w:tcPr>
            <w:tcW w:w="1842"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Mz U frente Av. Pioneros</w:t>
            </w:r>
          </w:p>
        </w:tc>
        <w:tc>
          <w:tcPr>
            <w:tcW w:w="1276"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Pampa del Carmen</w:t>
            </w:r>
          </w:p>
        </w:tc>
        <w:tc>
          <w:tcPr>
            <w:tcW w:w="1418"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Chanchamayo</w:t>
            </w:r>
          </w:p>
        </w:tc>
        <w:tc>
          <w:tcPr>
            <w:tcW w:w="1417"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2377.56m²</w:t>
            </w:r>
          </w:p>
        </w:tc>
        <w:tc>
          <w:tcPr>
            <w:tcW w:w="1418"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Junín</w:t>
            </w:r>
          </w:p>
        </w:tc>
      </w:tr>
      <w:tr w:rsidR="007E6B15" w:rsidRPr="007E6B15" w:rsidTr="00F84BC8">
        <w:tc>
          <w:tcPr>
            <w:tcW w:w="284"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4</w:t>
            </w:r>
          </w:p>
        </w:tc>
        <w:tc>
          <w:tcPr>
            <w:tcW w:w="1842"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Augusto B. Leguía y Aviación</w:t>
            </w:r>
          </w:p>
        </w:tc>
        <w:tc>
          <w:tcPr>
            <w:tcW w:w="1276"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Satipo</w:t>
            </w:r>
          </w:p>
        </w:tc>
        <w:tc>
          <w:tcPr>
            <w:tcW w:w="1418"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Satipo</w:t>
            </w:r>
          </w:p>
        </w:tc>
        <w:tc>
          <w:tcPr>
            <w:tcW w:w="1417" w:type="dxa"/>
            <w:vAlign w:val="center"/>
          </w:tcPr>
          <w:p w:rsidR="007E6B15" w:rsidRPr="004A2DC1" w:rsidRDefault="007E6B15" w:rsidP="00F84BC8">
            <w:pPr>
              <w:jc w:val="center"/>
              <w:rPr>
                <w:rFonts w:ascii="Tahoma" w:hAnsi="Tahoma" w:cs="Tahoma"/>
                <w:bCs/>
                <w:sz w:val="16"/>
                <w:szCs w:val="16"/>
              </w:rPr>
            </w:pPr>
            <w:smartTag w:uri="urn:schemas-microsoft-com:office:smarttags" w:element="metricconverter">
              <w:smartTagPr>
                <w:attr w:name="ProductID" w:val="1991.98 mﾲ"/>
              </w:smartTagPr>
              <w:r w:rsidRPr="004A2DC1">
                <w:rPr>
                  <w:rFonts w:ascii="Tahoma" w:hAnsi="Tahoma" w:cs="Tahoma"/>
                  <w:bCs/>
                  <w:sz w:val="16"/>
                  <w:szCs w:val="16"/>
                </w:rPr>
                <w:t>1991.98 m²</w:t>
              </w:r>
            </w:smartTag>
          </w:p>
        </w:tc>
        <w:tc>
          <w:tcPr>
            <w:tcW w:w="1418" w:type="dxa"/>
            <w:vAlign w:val="center"/>
          </w:tcPr>
          <w:p w:rsidR="007E6B15" w:rsidRPr="004A2DC1" w:rsidRDefault="007E6B15" w:rsidP="00F84BC8">
            <w:pPr>
              <w:jc w:val="center"/>
              <w:rPr>
                <w:rFonts w:ascii="Tahoma" w:hAnsi="Tahoma" w:cs="Tahoma"/>
                <w:bCs/>
                <w:sz w:val="16"/>
                <w:szCs w:val="16"/>
              </w:rPr>
            </w:pPr>
            <w:r w:rsidRPr="004A2DC1">
              <w:rPr>
                <w:rFonts w:ascii="Tahoma" w:hAnsi="Tahoma" w:cs="Tahoma"/>
                <w:bCs/>
                <w:sz w:val="16"/>
                <w:szCs w:val="16"/>
              </w:rPr>
              <w:t>Junín</w:t>
            </w:r>
          </w:p>
        </w:tc>
      </w:tr>
    </w:tbl>
    <w:p w:rsidR="007E6B15" w:rsidRPr="007E6B15" w:rsidRDefault="007E6B15" w:rsidP="007E6B15">
      <w:pPr>
        <w:pStyle w:val="Textoindependiente"/>
        <w:widowControl w:val="0"/>
        <w:suppressAutoHyphens/>
        <w:rPr>
          <w:rFonts w:ascii="Tahoma" w:hAnsi="Tahoma" w:cs="Tahoma"/>
          <w:sz w:val="20"/>
          <w:szCs w:val="20"/>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Del mismo modo, el numeral 3 del Capítulo III de las Bases Administrativas del citado proceso de selección definieron las acciones necesarias a implementarse en el proceso de formalización de los cuatro (4) terrenos, según el siguiente detalle:</w:t>
      </w:r>
    </w:p>
    <w:p w:rsidR="007E6B15" w:rsidRPr="007E6B15" w:rsidRDefault="007E6B15" w:rsidP="007E6B15">
      <w:pPr>
        <w:pStyle w:val="Textoindependiente"/>
        <w:widowControl w:val="0"/>
        <w:suppressAutoHyphens/>
        <w:rPr>
          <w:rFonts w:ascii="Tahoma" w:hAnsi="Tahoma" w:cs="Tahoma"/>
          <w:sz w:val="20"/>
          <w:szCs w:val="20"/>
        </w:rPr>
      </w:pPr>
    </w:p>
    <w:p w:rsidR="007E6B15" w:rsidRPr="007E6B15" w:rsidRDefault="006D56EB" w:rsidP="007E6B15">
      <w:pPr>
        <w:pStyle w:val="Textoindependiente"/>
        <w:widowControl w:val="0"/>
        <w:suppressAutoHyphens/>
        <w:rPr>
          <w:rFonts w:ascii="Tahoma" w:hAnsi="Tahoma" w:cs="Tahoma"/>
          <w:sz w:val="20"/>
          <w:szCs w:val="20"/>
        </w:rPr>
      </w:pPr>
      <w:r w:rsidRPr="006D56EB">
        <w:rPr>
          <w:rFonts w:ascii="Tahoma" w:hAnsi="Tahoma" w:cs="Tahoma"/>
          <w:noProof/>
          <w:sz w:val="20"/>
          <w:szCs w:val="20"/>
          <w:lang w:val="es-ES_tradnl" w:eastAsia="en-US"/>
        </w:rPr>
        <w:pict>
          <v:rect id="_x0000_s1028" style="position:absolute;margin-left:61.2pt;margin-top:2.4pt;width:337.5pt;height:248.05pt;z-index:251658240">
            <v:textbox style="mso-next-textbox:#_x0000_s1028">
              <w:txbxContent>
                <w:p w:rsidR="007E6B15" w:rsidRPr="004A2DC1" w:rsidRDefault="007E6B15" w:rsidP="007E6B15">
                  <w:pPr>
                    <w:pStyle w:val="WW-Textosinformato"/>
                    <w:tabs>
                      <w:tab w:val="left" w:pos="318"/>
                      <w:tab w:val="left" w:pos="709"/>
                      <w:tab w:val="center" w:pos="6953"/>
                      <w:tab w:val="right" w:pos="11372"/>
                    </w:tabs>
                    <w:spacing w:line="240" w:lineRule="exact"/>
                    <w:ind w:left="318"/>
                    <w:jc w:val="center"/>
                    <w:rPr>
                      <w:rFonts w:ascii="Tahoma" w:hAnsi="Tahoma" w:cs="Tahoma"/>
                      <w:b/>
                      <w:sz w:val="16"/>
                      <w:szCs w:val="16"/>
                      <w:u w:val="single"/>
                      <w:lang w:val="es-ES_tradnl"/>
                    </w:rPr>
                  </w:pPr>
                  <w:r w:rsidRPr="004A2DC1">
                    <w:rPr>
                      <w:rFonts w:ascii="Tahoma" w:hAnsi="Tahoma" w:cs="Tahoma"/>
                      <w:b/>
                      <w:sz w:val="16"/>
                      <w:szCs w:val="16"/>
                      <w:u w:val="single"/>
                      <w:lang w:val="es-ES_tradnl"/>
                    </w:rPr>
                    <w:t>CAPÍTULO III</w:t>
                  </w:r>
                </w:p>
                <w:p w:rsidR="007E6B15" w:rsidRPr="004A2DC1" w:rsidRDefault="007E6B15" w:rsidP="007E6B15">
                  <w:pPr>
                    <w:pStyle w:val="WW-Textosinformato"/>
                    <w:tabs>
                      <w:tab w:val="left" w:pos="318"/>
                      <w:tab w:val="center" w:pos="6953"/>
                      <w:tab w:val="right" w:pos="11372"/>
                    </w:tabs>
                    <w:spacing w:line="240" w:lineRule="exact"/>
                    <w:ind w:left="318"/>
                    <w:jc w:val="center"/>
                    <w:rPr>
                      <w:rFonts w:ascii="Tahoma" w:hAnsi="Tahoma" w:cs="Tahoma"/>
                      <w:b/>
                      <w:sz w:val="16"/>
                      <w:szCs w:val="16"/>
                      <w:lang w:val="es-ES_tradnl"/>
                    </w:rPr>
                  </w:pPr>
                </w:p>
                <w:p w:rsidR="007E6B15" w:rsidRPr="004A2DC1" w:rsidRDefault="007E6B15" w:rsidP="007E6B15">
                  <w:pPr>
                    <w:pStyle w:val="WW-Textosinformato"/>
                    <w:tabs>
                      <w:tab w:val="left" w:pos="318"/>
                      <w:tab w:val="center" w:pos="6953"/>
                      <w:tab w:val="right" w:pos="11372"/>
                    </w:tabs>
                    <w:spacing w:line="240" w:lineRule="exact"/>
                    <w:ind w:left="318"/>
                    <w:jc w:val="center"/>
                    <w:rPr>
                      <w:rFonts w:ascii="Tahoma" w:hAnsi="Tahoma" w:cs="Tahoma"/>
                      <w:b/>
                      <w:sz w:val="16"/>
                      <w:szCs w:val="16"/>
                      <w:lang w:val="es-ES_tradnl"/>
                    </w:rPr>
                  </w:pPr>
                  <w:r w:rsidRPr="004A2DC1">
                    <w:rPr>
                      <w:rFonts w:ascii="Tahoma" w:hAnsi="Tahoma" w:cs="Tahoma"/>
                      <w:b/>
                      <w:sz w:val="16"/>
                      <w:szCs w:val="16"/>
                      <w:lang w:val="es-ES_tradnl"/>
                    </w:rPr>
                    <w:t xml:space="preserve">REQUERIMIENTOS TÉCNICOS MÍNIMOS </w:t>
                  </w:r>
                </w:p>
                <w:p w:rsidR="007E6B15" w:rsidRPr="004A2DC1" w:rsidRDefault="007E6B15" w:rsidP="007E6B15">
                  <w:pPr>
                    <w:numPr>
                      <w:ilvl w:val="12"/>
                      <w:numId w:val="0"/>
                    </w:numPr>
                    <w:rPr>
                      <w:rFonts w:cs="Tahoma"/>
                      <w:b/>
                      <w:bCs/>
                      <w:sz w:val="16"/>
                      <w:szCs w:val="16"/>
                    </w:rPr>
                  </w:pPr>
                  <w:r w:rsidRPr="004A2DC1">
                    <w:rPr>
                      <w:rFonts w:cs="Tahoma"/>
                      <w:b/>
                      <w:bCs/>
                      <w:sz w:val="16"/>
                      <w:szCs w:val="16"/>
                    </w:rPr>
                    <w:t>(…)</w:t>
                  </w:r>
                </w:p>
                <w:p w:rsidR="007E6B15" w:rsidRPr="004A2DC1" w:rsidRDefault="007E6B15" w:rsidP="007E6B15">
                  <w:pPr>
                    <w:numPr>
                      <w:ilvl w:val="12"/>
                      <w:numId w:val="0"/>
                    </w:numPr>
                    <w:rPr>
                      <w:rFonts w:cs="Tahoma"/>
                      <w:b/>
                      <w:bCs/>
                      <w:sz w:val="16"/>
                      <w:szCs w:val="16"/>
                    </w:rPr>
                  </w:pPr>
                </w:p>
                <w:p w:rsidR="007E6B15" w:rsidRPr="004A2DC1" w:rsidRDefault="007E6B15" w:rsidP="007E6B15">
                  <w:pPr>
                    <w:numPr>
                      <w:ilvl w:val="12"/>
                      <w:numId w:val="0"/>
                    </w:numPr>
                    <w:rPr>
                      <w:rFonts w:cs="Tahoma"/>
                      <w:b/>
                      <w:bCs/>
                      <w:sz w:val="16"/>
                      <w:szCs w:val="16"/>
                    </w:rPr>
                  </w:pPr>
                  <w:r w:rsidRPr="004A2DC1">
                    <w:rPr>
                      <w:rFonts w:cs="Tahoma"/>
                      <w:b/>
                      <w:bCs/>
                      <w:sz w:val="16"/>
                      <w:szCs w:val="16"/>
                    </w:rPr>
                    <w:t>3. TÉRMINOS DE REFERENCIA</w:t>
                  </w:r>
                </w:p>
                <w:p w:rsidR="007E6B15" w:rsidRPr="004A2DC1" w:rsidRDefault="007E6B15" w:rsidP="007E6B15">
                  <w:pPr>
                    <w:widowControl w:val="0"/>
                    <w:tabs>
                      <w:tab w:val="left" w:pos="318"/>
                    </w:tabs>
                    <w:adjustRightInd w:val="0"/>
                    <w:spacing w:line="240" w:lineRule="exact"/>
                    <w:ind w:left="318"/>
                    <w:textAlignment w:val="baseline"/>
                    <w:rPr>
                      <w:rFonts w:cs="Tahoma"/>
                      <w:sz w:val="16"/>
                      <w:szCs w:val="16"/>
                    </w:rPr>
                  </w:pPr>
                </w:p>
                <w:p w:rsidR="007E6B15" w:rsidRPr="004A2DC1" w:rsidRDefault="007E6B15" w:rsidP="007E6B15">
                  <w:pPr>
                    <w:pStyle w:val="Prrafodelista"/>
                    <w:numPr>
                      <w:ilvl w:val="1"/>
                      <w:numId w:val="32"/>
                    </w:numPr>
                    <w:ind w:left="284" w:hanging="284"/>
                    <w:contextualSpacing w:val="0"/>
                    <w:jc w:val="both"/>
                    <w:rPr>
                      <w:rFonts w:cs="Tahoma"/>
                      <w:bCs/>
                      <w:sz w:val="16"/>
                      <w:szCs w:val="16"/>
                    </w:rPr>
                  </w:pPr>
                  <w:r w:rsidRPr="004A2DC1">
                    <w:rPr>
                      <w:rFonts w:cs="Tahoma"/>
                      <w:bCs/>
                      <w:sz w:val="16"/>
                      <w:szCs w:val="16"/>
                    </w:rPr>
                    <w:t>Elaboración de Planos de Ubicación, Localización y de Distribución según corresponda.</w:t>
                  </w:r>
                </w:p>
                <w:p w:rsidR="007E6B15" w:rsidRPr="004A2DC1" w:rsidRDefault="007E6B15" w:rsidP="007E6B15">
                  <w:pPr>
                    <w:pStyle w:val="Prrafodelista"/>
                    <w:numPr>
                      <w:ilvl w:val="1"/>
                      <w:numId w:val="32"/>
                    </w:numPr>
                    <w:ind w:left="284" w:hanging="284"/>
                    <w:contextualSpacing w:val="0"/>
                    <w:jc w:val="both"/>
                    <w:rPr>
                      <w:rFonts w:cs="Tahoma"/>
                      <w:b/>
                      <w:bCs/>
                      <w:sz w:val="16"/>
                      <w:szCs w:val="16"/>
                    </w:rPr>
                  </w:pPr>
                  <w:r w:rsidRPr="004A2DC1">
                    <w:rPr>
                      <w:rFonts w:cs="Tahoma"/>
                      <w:bCs/>
                      <w:sz w:val="16"/>
                      <w:szCs w:val="16"/>
                    </w:rPr>
                    <w:t>Presentar memoria descriptiva de cada terreno.</w:t>
                  </w:r>
                </w:p>
                <w:p w:rsidR="007E6B15" w:rsidRPr="004A2DC1" w:rsidRDefault="007E6B15" w:rsidP="007E6B15">
                  <w:pPr>
                    <w:pStyle w:val="Prrafodelista"/>
                    <w:numPr>
                      <w:ilvl w:val="1"/>
                      <w:numId w:val="32"/>
                    </w:numPr>
                    <w:ind w:left="284" w:hanging="284"/>
                    <w:contextualSpacing w:val="0"/>
                    <w:jc w:val="both"/>
                    <w:rPr>
                      <w:rFonts w:cs="Tahoma"/>
                      <w:b/>
                      <w:bCs/>
                      <w:sz w:val="16"/>
                      <w:szCs w:val="16"/>
                    </w:rPr>
                  </w:pPr>
                  <w:r w:rsidRPr="004A2DC1">
                    <w:rPr>
                      <w:rFonts w:cs="Tahoma"/>
                      <w:bCs/>
                      <w:sz w:val="16"/>
                      <w:szCs w:val="16"/>
                    </w:rPr>
                    <w:t>Declaraciones Juradas de haber realizado los planos de conformidad con el D.S. 130-2001-EF.</w:t>
                  </w:r>
                </w:p>
                <w:p w:rsidR="007E6B15" w:rsidRPr="004A2DC1" w:rsidRDefault="007E6B15" w:rsidP="007E6B15">
                  <w:pPr>
                    <w:pStyle w:val="Prrafodelista"/>
                    <w:numPr>
                      <w:ilvl w:val="1"/>
                      <w:numId w:val="32"/>
                    </w:numPr>
                    <w:ind w:left="284" w:hanging="284"/>
                    <w:contextualSpacing w:val="0"/>
                    <w:jc w:val="both"/>
                    <w:rPr>
                      <w:rFonts w:cs="Tahoma"/>
                      <w:b/>
                      <w:bCs/>
                      <w:sz w:val="16"/>
                      <w:szCs w:val="16"/>
                    </w:rPr>
                  </w:pPr>
                  <w:r w:rsidRPr="004A2DC1">
                    <w:rPr>
                      <w:rFonts w:cs="Tahoma"/>
                      <w:bCs/>
                      <w:sz w:val="16"/>
                      <w:szCs w:val="16"/>
                    </w:rPr>
                    <w:t>Presentación de los expedientes, seguimiento, subsanaciones de las esquelas de las observaciones y demás trámites</w:t>
                  </w:r>
                  <w:r w:rsidRPr="004A2DC1">
                    <w:rPr>
                      <w:rFonts w:cs="Tahoma"/>
                      <w:b/>
                      <w:bCs/>
                      <w:sz w:val="16"/>
                      <w:szCs w:val="16"/>
                    </w:rPr>
                    <w:t xml:space="preserve"> hasta la inscripción definitiva de los terrenos en la SUNARP</w:t>
                  </w:r>
                  <w:r w:rsidRPr="004A2DC1">
                    <w:rPr>
                      <w:rFonts w:cs="Tahoma"/>
                      <w:bCs/>
                      <w:sz w:val="16"/>
                      <w:szCs w:val="16"/>
                    </w:rPr>
                    <w:t xml:space="preserve">. </w:t>
                  </w:r>
                </w:p>
                <w:p w:rsidR="007E6B15" w:rsidRPr="004A2DC1" w:rsidRDefault="007E6B15" w:rsidP="007E6B15">
                  <w:pPr>
                    <w:pStyle w:val="Prrafodelista"/>
                    <w:numPr>
                      <w:ilvl w:val="1"/>
                      <w:numId w:val="32"/>
                    </w:numPr>
                    <w:ind w:left="284" w:hanging="284"/>
                    <w:contextualSpacing w:val="0"/>
                    <w:jc w:val="both"/>
                    <w:rPr>
                      <w:rFonts w:cs="Tahoma"/>
                      <w:b/>
                      <w:bCs/>
                      <w:sz w:val="16"/>
                      <w:szCs w:val="16"/>
                    </w:rPr>
                  </w:pPr>
                  <w:r w:rsidRPr="004A2DC1">
                    <w:rPr>
                      <w:rFonts w:cs="Tahoma"/>
                      <w:bCs/>
                      <w:sz w:val="16"/>
                      <w:szCs w:val="16"/>
                    </w:rPr>
                    <w:t>El Poder Judicial asumirá los gastos que irrogue por conceptos de: tasas, aranceles, derechos de trámite, ante las Instituciones y/o  entidades que corresponda presentar o elevar el expediente de saneamiento físico.</w:t>
                  </w:r>
                </w:p>
                <w:p w:rsidR="007E6B15" w:rsidRPr="004A2DC1" w:rsidRDefault="007E6B15" w:rsidP="007E6B15">
                  <w:pPr>
                    <w:pStyle w:val="Prrafodelista"/>
                    <w:numPr>
                      <w:ilvl w:val="1"/>
                      <w:numId w:val="32"/>
                    </w:numPr>
                    <w:ind w:left="284" w:hanging="284"/>
                    <w:contextualSpacing w:val="0"/>
                    <w:jc w:val="both"/>
                    <w:rPr>
                      <w:rFonts w:cs="Tahoma"/>
                      <w:b/>
                      <w:bCs/>
                      <w:sz w:val="16"/>
                      <w:szCs w:val="16"/>
                    </w:rPr>
                  </w:pPr>
                  <w:r w:rsidRPr="004A2DC1">
                    <w:rPr>
                      <w:rFonts w:cs="Tahoma"/>
                      <w:bCs/>
                      <w:sz w:val="16"/>
                      <w:szCs w:val="16"/>
                    </w:rPr>
                    <w:t>El área de Saneamiento Físico Legal y Control Patrimonial del Poder Judicial, proporcionará las publicaciones y Declaraciones Juradas de que el predio no se encuentre en proceso judicial permanentemente.</w:t>
                  </w:r>
                </w:p>
                <w:p w:rsidR="007E6B15" w:rsidRPr="004A2DC1" w:rsidRDefault="007E6B15" w:rsidP="007E6B15">
                  <w:pPr>
                    <w:pStyle w:val="Prrafodelista"/>
                    <w:numPr>
                      <w:ilvl w:val="1"/>
                      <w:numId w:val="32"/>
                    </w:numPr>
                    <w:ind w:left="284" w:hanging="284"/>
                    <w:contextualSpacing w:val="0"/>
                    <w:jc w:val="both"/>
                    <w:rPr>
                      <w:rFonts w:cs="Tahoma"/>
                      <w:b/>
                      <w:bCs/>
                      <w:sz w:val="16"/>
                      <w:szCs w:val="16"/>
                    </w:rPr>
                  </w:pPr>
                  <w:r w:rsidRPr="004A2DC1">
                    <w:rPr>
                      <w:rFonts w:cs="Tahoma"/>
                      <w:bCs/>
                      <w:sz w:val="16"/>
                      <w:szCs w:val="16"/>
                    </w:rPr>
                    <w:t>El proveedor del servicio será responsable del trámite hasta la culminación del mismo con la entrega por parte de la SUNARP de la Inscripción Definitiva del Título de Propiedad y Declaratoria de Fábrica, según corresponda.</w:t>
                  </w:r>
                </w:p>
                <w:p w:rsidR="007E6B15" w:rsidRPr="004A2DC1" w:rsidRDefault="007E6B15" w:rsidP="007E6B15">
                  <w:pPr>
                    <w:widowControl w:val="0"/>
                    <w:tabs>
                      <w:tab w:val="left" w:pos="318"/>
                    </w:tabs>
                    <w:adjustRightInd w:val="0"/>
                    <w:spacing w:line="240" w:lineRule="exact"/>
                    <w:ind w:left="318"/>
                    <w:textAlignment w:val="baseline"/>
                    <w:rPr>
                      <w:rFonts w:cs="Tahoma"/>
                      <w:sz w:val="16"/>
                      <w:szCs w:val="16"/>
                    </w:rPr>
                  </w:pPr>
                </w:p>
                <w:p w:rsidR="007E6B15" w:rsidRPr="004A2DC1" w:rsidRDefault="007E6B15" w:rsidP="007E6B15">
                  <w:pPr>
                    <w:pStyle w:val="Sinespaciado"/>
                    <w:jc w:val="both"/>
                    <w:rPr>
                      <w:rFonts w:ascii="Tahoma" w:hAnsi="Tahoma" w:cs="Tahoma"/>
                      <w:sz w:val="16"/>
                      <w:szCs w:val="16"/>
                    </w:rPr>
                  </w:pPr>
                  <w:r w:rsidRPr="004A2DC1">
                    <w:rPr>
                      <w:rFonts w:ascii="Tahoma" w:hAnsi="Tahoma" w:cs="Tahoma"/>
                      <w:i/>
                      <w:sz w:val="16"/>
                      <w:szCs w:val="16"/>
                    </w:rPr>
                    <w:t>(sic)</w:t>
                  </w:r>
                </w:p>
                <w:p w:rsidR="007E6B15" w:rsidRPr="001F729A" w:rsidRDefault="007E6B15" w:rsidP="007E6B15">
                  <w:pPr>
                    <w:widowControl w:val="0"/>
                    <w:tabs>
                      <w:tab w:val="left" w:pos="318"/>
                    </w:tabs>
                    <w:adjustRightInd w:val="0"/>
                    <w:spacing w:line="240" w:lineRule="exact"/>
                    <w:ind w:left="318"/>
                    <w:textAlignment w:val="baseline"/>
                    <w:rPr>
                      <w:rFonts w:cs="Tahoma"/>
                      <w:sz w:val="16"/>
                      <w:szCs w:val="16"/>
                    </w:rPr>
                  </w:pPr>
                </w:p>
                <w:p w:rsidR="007E6B15" w:rsidRPr="001F729A" w:rsidRDefault="007E6B15" w:rsidP="007E6B15">
                  <w:pPr>
                    <w:widowControl w:val="0"/>
                    <w:tabs>
                      <w:tab w:val="left" w:pos="318"/>
                    </w:tabs>
                    <w:adjustRightInd w:val="0"/>
                    <w:spacing w:line="240" w:lineRule="exact"/>
                    <w:ind w:left="318"/>
                    <w:textAlignment w:val="baseline"/>
                    <w:rPr>
                      <w:rFonts w:cs="Tahoma"/>
                      <w:sz w:val="16"/>
                      <w:szCs w:val="16"/>
                      <w:lang w:val="es-ES_tradnl"/>
                    </w:rPr>
                  </w:pPr>
                </w:p>
                <w:p w:rsidR="007E6B15" w:rsidRPr="001F729A" w:rsidRDefault="007E6B15" w:rsidP="007E6B15">
                  <w:pPr>
                    <w:widowControl w:val="0"/>
                    <w:tabs>
                      <w:tab w:val="left" w:pos="318"/>
                    </w:tabs>
                    <w:adjustRightInd w:val="0"/>
                    <w:spacing w:line="240" w:lineRule="exact"/>
                    <w:ind w:left="318"/>
                    <w:textAlignment w:val="baseline"/>
                    <w:rPr>
                      <w:rFonts w:cs="Tahoma"/>
                      <w:sz w:val="16"/>
                      <w:szCs w:val="16"/>
                      <w:lang w:val="es-ES_tradnl"/>
                    </w:rPr>
                  </w:pPr>
                </w:p>
                <w:p w:rsidR="007E6B15" w:rsidRPr="001F729A" w:rsidRDefault="007E6B15" w:rsidP="007E6B15">
                  <w:pPr>
                    <w:widowControl w:val="0"/>
                    <w:tabs>
                      <w:tab w:val="left" w:pos="318"/>
                    </w:tabs>
                    <w:adjustRightInd w:val="0"/>
                    <w:spacing w:line="240" w:lineRule="exact"/>
                    <w:ind w:left="318"/>
                    <w:textAlignment w:val="baseline"/>
                    <w:rPr>
                      <w:rFonts w:cs="Tahoma"/>
                      <w:sz w:val="16"/>
                      <w:szCs w:val="16"/>
                      <w:lang w:val="es-ES_tradnl"/>
                    </w:rPr>
                  </w:pPr>
                </w:p>
                <w:p w:rsidR="007E6B15" w:rsidRPr="001F729A" w:rsidRDefault="007E6B15" w:rsidP="007E6B15">
                  <w:pPr>
                    <w:widowControl w:val="0"/>
                    <w:tabs>
                      <w:tab w:val="left" w:pos="318"/>
                    </w:tabs>
                    <w:adjustRightInd w:val="0"/>
                    <w:spacing w:line="240" w:lineRule="exact"/>
                    <w:ind w:left="318"/>
                    <w:textAlignment w:val="baseline"/>
                    <w:rPr>
                      <w:rFonts w:cs="Tahoma"/>
                      <w:sz w:val="16"/>
                      <w:szCs w:val="16"/>
                      <w:lang w:val="es-ES_tradnl"/>
                    </w:rPr>
                  </w:pPr>
                </w:p>
                <w:p w:rsidR="007E6B15" w:rsidRPr="001F729A" w:rsidRDefault="007E6B15" w:rsidP="007E6B15">
                  <w:pPr>
                    <w:widowControl w:val="0"/>
                    <w:tabs>
                      <w:tab w:val="left" w:pos="318"/>
                    </w:tabs>
                    <w:adjustRightInd w:val="0"/>
                    <w:spacing w:line="240" w:lineRule="exact"/>
                    <w:ind w:left="318"/>
                    <w:textAlignment w:val="baseline"/>
                    <w:rPr>
                      <w:rFonts w:cs="Tahoma"/>
                      <w:sz w:val="16"/>
                      <w:szCs w:val="16"/>
                      <w:lang w:val="es-ES_tradnl"/>
                    </w:rPr>
                  </w:pPr>
                </w:p>
                <w:p w:rsidR="007E6B15" w:rsidRPr="001F729A" w:rsidRDefault="007E6B15" w:rsidP="007E6B15">
                  <w:pPr>
                    <w:widowControl w:val="0"/>
                    <w:tabs>
                      <w:tab w:val="left" w:pos="318"/>
                    </w:tabs>
                    <w:adjustRightInd w:val="0"/>
                    <w:spacing w:line="240" w:lineRule="exact"/>
                    <w:ind w:left="318"/>
                    <w:textAlignment w:val="baseline"/>
                    <w:rPr>
                      <w:rFonts w:cs="Tahoma"/>
                      <w:sz w:val="16"/>
                      <w:szCs w:val="16"/>
                      <w:lang w:val="es-ES_tradnl"/>
                    </w:rPr>
                  </w:pPr>
                </w:p>
                <w:p w:rsidR="007E6B15" w:rsidRPr="001F729A" w:rsidRDefault="007E6B15" w:rsidP="007E6B15">
                  <w:pPr>
                    <w:widowControl w:val="0"/>
                    <w:tabs>
                      <w:tab w:val="left" w:pos="318"/>
                    </w:tabs>
                    <w:adjustRightInd w:val="0"/>
                    <w:spacing w:line="240" w:lineRule="exact"/>
                    <w:ind w:left="318"/>
                    <w:textAlignment w:val="baseline"/>
                    <w:rPr>
                      <w:rFonts w:cs="Tahoma"/>
                      <w:sz w:val="16"/>
                      <w:szCs w:val="16"/>
                      <w:lang w:val="es-ES_tradnl"/>
                    </w:rPr>
                  </w:pPr>
                </w:p>
                <w:p w:rsidR="007E6B15" w:rsidRPr="001F729A" w:rsidRDefault="007E6B15" w:rsidP="007E6B15">
                  <w:pPr>
                    <w:widowControl w:val="0"/>
                    <w:tabs>
                      <w:tab w:val="left" w:pos="318"/>
                    </w:tabs>
                    <w:adjustRightInd w:val="0"/>
                    <w:spacing w:line="240" w:lineRule="exact"/>
                    <w:ind w:left="678"/>
                    <w:textAlignment w:val="baseline"/>
                    <w:rPr>
                      <w:rFonts w:cs="Tahoma"/>
                      <w:b/>
                      <w:sz w:val="16"/>
                      <w:szCs w:val="16"/>
                    </w:rPr>
                  </w:pPr>
                </w:p>
                <w:p w:rsidR="007E6B15" w:rsidRPr="001F729A" w:rsidRDefault="007E6B15" w:rsidP="007E6B15">
                  <w:pPr>
                    <w:pStyle w:val="Sinespaciado"/>
                    <w:rPr>
                      <w:rFonts w:ascii="Tahoma" w:hAnsi="Tahoma" w:cs="Tahoma"/>
                      <w:sz w:val="16"/>
                      <w:szCs w:val="16"/>
                    </w:rPr>
                  </w:pPr>
                  <w:r w:rsidRPr="001F729A">
                    <w:rPr>
                      <w:rFonts w:cs="Tahoma"/>
                      <w:i/>
                      <w:sz w:val="16"/>
                      <w:szCs w:val="16"/>
                    </w:rPr>
                    <w:t>(El subrayado y negrita es nuestro).</w:t>
                  </w:r>
                </w:p>
                <w:p w:rsidR="007E6B15" w:rsidRPr="001F729A" w:rsidRDefault="007E6B15" w:rsidP="007E6B15">
                  <w:pPr>
                    <w:pStyle w:val="Sinespaciado"/>
                    <w:rPr>
                      <w:rFonts w:ascii="Tahoma" w:hAnsi="Tahoma" w:cs="Tahoma"/>
                      <w:sz w:val="16"/>
                      <w:szCs w:val="16"/>
                    </w:rPr>
                  </w:pPr>
                  <w:r w:rsidRPr="001F729A">
                    <w:rPr>
                      <w:rFonts w:ascii="Tahoma" w:hAnsi="Tahoma" w:cs="Tahoma"/>
                      <w:i/>
                      <w:sz w:val="16"/>
                      <w:szCs w:val="16"/>
                    </w:rPr>
                    <w:t>( El subrayado y negrita es nuestro</w:t>
                  </w:r>
                  <w:r w:rsidRPr="001F729A">
                    <w:rPr>
                      <w:rFonts w:ascii="Tahoma" w:hAnsi="Tahoma" w:cs="Tahoma"/>
                      <w:sz w:val="16"/>
                      <w:szCs w:val="16"/>
                    </w:rPr>
                    <w:t>)</w:t>
                  </w:r>
                </w:p>
              </w:txbxContent>
            </v:textbox>
          </v:rect>
        </w:pict>
      </w:r>
    </w:p>
    <w:p w:rsidR="007E6B15" w:rsidRPr="007E6B15" w:rsidRDefault="007E6B15" w:rsidP="007E6B15">
      <w:pPr>
        <w:pStyle w:val="Textoindependiente"/>
        <w:widowControl w:val="0"/>
        <w:suppressAutoHyphens/>
        <w:rPr>
          <w:rFonts w:ascii="Tahoma" w:hAnsi="Tahoma" w:cs="Tahoma"/>
          <w:sz w:val="20"/>
          <w:szCs w:val="20"/>
        </w:rPr>
      </w:pPr>
    </w:p>
    <w:p w:rsidR="007E6B15" w:rsidRPr="007E6B15" w:rsidRDefault="007E6B15" w:rsidP="007E6B15">
      <w:pPr>
        <w:pStyle w:val="Prrafodelista"/>
        <w:ind w:left="1276" w:hanging="556"/>
        <w:rPr>
          <w:rFonts w:ascii="Tahoma" w:hAnsi="Tahoma" w:cs="Tahoma"/>
        </w:rPr>
      </w:pPr>
    </w:p>
    <w:p w:rsidR="007E6B15" w:rsidRPr="007E6B15" w:rsidRDefault="007E6B15" w:rsidP="007E6B15">
      <w:pPr>
        <w:pStyle w:val="Prrafodelista"/>
        <w:ind w:left="1276" w:hanging="556"/>
        <w:rPr>
          <w:rFonts w:ascii="Tahoma" w:hAnsi="Tahoma" w:cs="Tahoma"/>
        </w:rPr>
      </w:pPr>
    </w:p>
    <w:p w:rsidR="007E6B15" w:rsidRPr="007E6B15" w:rsidRDefault="007E6B15" w:rsidP="007E6B15">
      <w:pPr>
        <w:pStyle w:val="Prrafodelista"/>
        <w:rPr>
          <w:rFonts w:ascii="Tahoma" w:hAnsi="Tahoma" w:cs="Tahoma"/>
        </w:rPr>
      </w:pPr>
    </w:p>
    <w:p w:rsidR="007E6B15" w:rsidRPr="007E6B15" w:rsidRDefault="007E6B15" w:rsidP="007E6B15">
      <w:pPr>
        <w:pStyle w:val="Prrafodelista"/>
        <w:rPr>
          <w:rFonts w:ascii="Tahoma" w:hAnsi="Tahoma" w:cs="Tahoma"/>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ind w:left="567"/>
        <w:rPr>
          <w:rFonts w:ascii="Tahoma" w:hAnsi="Tahoma" w:cs="Tahoma"/>
          <w:sz w:val="20"/>
          <w:szCs w:val="20"/>
        </w:rPr>
      </w:pPr>
    </w:p>
    <w:p w:rsidR="007E6B15" w:rsidRPr="007E6B15" w:rsidRDefault="007E6B15" w:rsidP="007E6B15">
      <w:pPr>
        <w:pStyle w:val="Prrafodelista"/>
        <w:rPr>
          <w:rFonts w:ascii="Tahoma" w:hAnsi="Tahoma" w:cs="Tahoma"/>
        </w:rPr>
      </w:pPr>
    </w:p>
    <w:p w:rsidR="007E6B15" w:rsidRPr="007E6B15" w:rsidRDefault="007E6B15" w:rsidP="007E6B15">
      <w:pPr>
        <w:widowControl w:val="0"/>
        <w:autoSpaceDE w:val="0"/>
        <w:autoSpaceDN w:val="0"/>
        <w:adjustRightInd w:val="0"/>
        <w:ind w:left="567"/>
        <w:rPr>
          <w:rFonts w:ascii="Tahoma" w:hAnsi="Tahoma" w:cs="Tahoma"/>
          <w:sz w:val="20"/>
          <w:szCs w:val="20"/>
        </w:rPr>
      </w:pPr>
    </w:p>
    <w:p w:rsidR="007E6B15" w:rsidRPr="007E6B15" w:rsidRDefault="007E6B15" w:rsidP="007E6B15">
      <w:pPr>
        <w:pStyle w:val="Prrafodelista"/>
        <w:rPr>
          <w:rFonts w:ascii="Tahoma" w:hAnsi="Tahoma" w:cs="Tahoma"/>
        </w:rPr>
      </w:pPr>
    </w:p>
    <w:p w:rsidR="007E6B15" w:rsidRPr="007E6B15" w:rsidRDefault="007E6B15" w:rsidP="007E6B15">
      <w:pPr>
        <w:pStyle w:val="Prrafodelista"/>
        <w:rPr>
          <w:rFonts w:ascii="Tahoma" w:hAnsi="Tahoma" w:cs="Tahoma"/>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 xml:space="preserve">Asimismo, de conformidad al numeral 5 del Capítulo III de las mismas Bases y a tenor de la Cláusula Tercera del Contrato № 035-2009-P-CSJJU/PJ de fecha 29 de diciembre de 2009 se desprende que el plazo de ejecución contractual sería de sesenta (60) días calendarios, plazo que el Contratista se competió a cumplir una vez firmado el mencionado contrato. Adicionalmente a ello, se estipulo que el plazo de inscripción del Saneamiento Físico Legal en los Registros Públicos es de acuerdo a los plazos de la propia Institución </w:t>
      </w:r>
      <w:r w:rsidRPr="007E6B15">
        <w:rPr>
          <w:rFonts w:ascii="Tahoma" w:hAnsi="Tahoma" w:cs="Tahoma"/>
          <w:sz w:val="20"/>
          <w:szCs w:val="20"/>
        </w:rPr>
        <w:lastRenderedPageBreak/>
        <w:t>Registral</w:t>
      </w:r>
      <w:r w:rsidRPr="007E6B15">
        <w:rPr>
          <w:rStyle w:val="Refdenotaalpie"/>
          <w:rFonts w:ascii="Tahoma" w:hAnsi="Tahoma" w:cs="Tahoma"/>
          <w:sz w:val="20"/>
          <w:szCs w:val="20"/>
        </w:rPr>
        <w:footnoteReference w:id="7"/>
      </w:r>
      <w:r w:rsidRPr="007E6B15">
        <w:rPr>
          <w:rFonts w:ascii="Tahoma" w:hAnsi="Tahoma" w:cs="Tahoma"/>
          <w:sz w:val="20"/>
          <w:szCs w:val="20"/>
        </w:rPr>
        <w:t>.</w:t>
      </w:r>
    </w:p>
    <w:p w:rsidR="007E6B15" w:rsidRPr="007E6B15" w:rsidRDefault="007E6B15" w:rsidP="007E6B15">
      <w:pPr>
        <w:pStyle w:val="Textoindependiente"/>
        <w:widowControl w:val="0"/>
        <w:suppressAutoHyphens/>
        <w:ind w:left="567"/>
        <w:rPr>
          <w:rFonts w:ascii="Tahoma" w:hAnsi="Tahoma" w:cs="Tahoma"/>
          <w:sz w:val="20"/>
          <w:szCs w:val="20"/>
        </w:rPr>
      </w:pPr>
    </w:p>
    <w:p w:rsidR="004A2DC1" w:rsidRDefault="007E6B15" w:rsidP="004A2DC1">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 xml:space="preserve">Entonces, queda claro, que el objeto del presente proceso de selección, el cual fue estipulado en el Contrato № 035-2009-P-CSJJU/PJ, estaba referido al </w:t>
      </w:r>
      <w:r w:rsidRPr="007E6B15">
        <w:rPr>
          <w:rFonts w:ascii="Tahoma" w:hAnsi="Tahoma" w:cs="Tahoma"/>
          <w:color w:val="000000" w:themeColor="text1"/>
          <w:sz w:val="20"/>
          <w:szCs w:val="20"/>
          <w:u w:val="single"/>
        </w:rPr>
        <w:t>saneamiento físico legal de los terrenos de la Entidad</w:t>
      </w:r>
      <w:r w:rsidRPr="007E6B15">
        <w:rPr>
          <w:rFonts w:ascii="Tahoma" w:hAnsi="Tahoma" w:cs="Tahoma"/>
          <w:color w:val="000000" w:themeColor="text1"/>
          <w:sz w:val="20"/>
          <w:szCs w:val="20"/>
        </w:rPr>
        <w:t xml:space="preserve">, entendiéndose que éste consistía, </w:t>
      </w:r>
      <w:r w:rsidRPr="007E6B15">
        <w:rPr>
          <w:rFonts w:ascii="Tahoma" w:hAnsi="Tahoma" w:cs="Tahoma"/>
          <w:sz w:val="20"/>
          <w:szCs w:val="20"/>
        </w:rPr>
        <w:t xml:space="preserve">en la elaboración del </w:t>
      </w:r>
      <w:r w:rsidRPr="007E6B15">
        <w:rPr>
          <w:rFonts w:ascii="Tahoma" w:hAnsi="Tahoma" w:cs="Tahoma"/>
          <w:sz w:val="20"/>
          <w:szCs w:val="20"/>
          <w:u w:val="single"/>
        </w:rPr>
        <w:t>expediente técnico</w:t>
      </w:r>
      <w:r w:rsidRPr="007E6B15">
        <w:rPr>
          <w:rFonts w:ascii="Tahoma" w:hAnsi="Tahoma" w:cs="Tahoma"/>
          <w:sz w:val="20"/>
          <w:szCs w:val="20"/>
        </w:rPr>
        <w:t xml:space="preserve"> (planos y memoria descriptiva) y el </w:t>
      </w:r>
      <w:r w:rsidRPr="007E6B15">
        <w:rPr>
          <w:rFonts w:ascii="Tahoma" w:hAnsi="Tahoma" w:cs="Tahoma"/>
          <w:sz w:val="20"/>
          <w:szCs w:val="20"/>
          <w:u w:val="single"/>
        </w:rPr>
        <w:t>expediente legal</w:t>
      </w:r>
      <w:r w:rsidRPr="007E6B15">
        <w:rPr>
          <w:rFonts w:ascii="Tahoma" w:hAnsi="Tahoma" w:cs="Tahoma"/>
          <w:sz w:val="20"/>
          <w:szCs w:val="20"/>
        </w:rPr>
        <w:t>, (título de propiedad), para posteriormente inscribir el dominio y la edificación del predio, de propiedad de la Entidad en Registros Públicos.</w:t>
      </w:r>
    </w:p>
    <w:p w:rsidR="004A2DC1" w:rsidRDefault="004A2DC1" w:rsidP="004A2DC1">
      <w:pPr>
        <w:pStyle w:val="Prrafodelista"/>
        <w:rPr>
          <w:rFonts w:ascii="Tahoma" w:hAnsi="Tahoma" w:cs="Tahoma"/>
        </w:rPr>
      </w:pPr>
    </w:p>
    <w:p w:rsidR="004A2DC1" w:rsidRDefault="007E6B15" w:rsidP="004A2DC1">
      <w:pPr>
        <w:pStyle w:val="Textoindependiente"/>
        <w:widowControl w:val="0"/>
        <w:suppressAutoHyphens/>
        <w:spacing w:after="0"/>
        <w:ind w:left="567"/>
        <w:jc w:val="both"/>
        <w:rPr>
          <w:rFonts w:ascii="Tahoma" w:hAnsi="Tahoma" w:cs="Tahoma"/>
          <w:sz w:val="20"/>
          <w:szCs w:val="20"/>
        </w:rPr>
      </w:pPr>
      <w:r w:rsidRPr="004A2DC1">
        <w:rPr>
          <w:rFonts w:ascii="Tahoma" w:hAnsi="Tahoma" w:cs="Tahoma"/>
          <w:sz w:val="20"/>
          <w:szCs w:val="20"/>
        </w:rPr>
        <w:t xml:space="preserve">Asimismo, de las mismas Bases se desprende, que el Contratista debía cumplir con los términos de referencia, esto es, elaborar los planos de ubicación, localización y de distribución; presentar las memorias descriptivas de cada terreno; declaraciones juradas de haber realizado los planos de conformidad con el Decreto Supremo № 130-2001-EF; presentación de los expedientes para la inscripción definitiva de los terrenos en la SUNARP, en el plazo de sesenta (60) días, luego del cual, el Contratista sería responsable </w:t>
      </w:r>
      <w:r w:rsidRPr="004A2DC1">
        <w:rPr>
          <w:rFonts w:ascii="Tahoma" w:hAnsi="Tahoma" w:cs="Tahoma"/>
          <w:bCs/>
          <w:sz w:val="20"/>
          <w:szCs w:val="20"/>
        </w:rPr>
        <w:t xml:space="preserve">del trámite hasta la culminación del mismo con la entrega por parte de la SUNARP de la Inscripción Definitiva del Título de Propiedad, en </w:t>
      </w:r>
      <w:r w:rsidRPr="004A2DC1">
        <w:rPr>
          <w:rFonts w:ascii="Tahoma" w:hAnsi="Tahoma" w:cs="Tahoma"/>
          <w:sz w:val="20"/>
          <w:szCs w:val="20"/>
        </w:rPr>
        <w:t>los plazos de la propia Institución Registral.</w:t>
      </w:r>
    </w:p>
    <w:p w:rsidR="004A2DC1" w:rsidRDefault="004A2DC1" w:rsidP="004A2DC1">
      <w:pPr>
        <w:pStyle w:val="Prrafodelista"/>
        <w:rPr>
          <w:rFonts w:ascii="Tahoma" w:hAnsi="Tahoma" w:cs="Tahoma"/>
          <w:lang w:val="es-MX"/>
        </w:rPr>
      </w:pPr>
    </w:p>
    <w:p w:rsidR="007E6B15" w:rsidRPr="004A2DC1" w:rsidRDefault="007E6B15" w:rsidP="004A2DC1">
      <w:pPr>
        <w:pStyle w:val="Textoindependiente"/>
        <w:widowControl w:val="0"/>
        <w:suppressAutoHyphens/>
        <w:spacing w:after="0"/>
        <w:ind w:left="567"/>
        <w:jc w:val="both"/>
        <w:rPr>
          <w:rFonts w:ascii="Tahoma" w:hAnsi="Tahoma" w:cs="Tahoma"/>
          <w:sz w:val="20"/>
          <w:szCs w:val="20"/>
        </w:rPr>
      </w:pPr>
      <w:r w:rsidRPr="004A2DC1">
        <w:rPr>
          <w:rFonts w:ascii="Tahoma" w:hAnsi="Tahoma" w:cs="Tahoma"/>
          <w:sz w:val="20"/>
          <w:szCs w:val="20"/>
          <w:lang w:val="es-MX"/>
        </w:rPr>
        <w:t>A ello, debemos agregar, que una vez presentados los expedientes respectivos ante los Registros Públicos, el Contratista tenía la obligación del seguimiento, subsanaciones de las esquelas de las observaciones y demás trámites hasta la inscripción definitiva de los terrenos en la SUNARP.</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Ahora bien, fluye de la documentación obrante en autos, que luego de suscrito el contrato, el Contratista a través de la Carta № 002-2010-CEFCH-CO presentado el 01 de marzo de 2010</w:t>
      </w:r>
      <w:r w:rsidRPr="007E6B15">
        <w:rPr>
          <w:rStyle w:val="Refdenotaalpie"/>
          <w:rFonts w:ascii="Tahoma" w:hAnsi="Tahoma" w:cs="Tahoma"/>
          <w:sz w:val="20"/>
          <w:szCs w:val="20"/>
        </w:rPr>
        <w:footnoteReference w:id="8"/>
      </w:r>
      <w:r w:rsidRPr="007E6B15">
        <w:rPr>
          <w:rFonts w:ascii="Tahoma" w:hAnsi="Tahoma" w:cs="Tahoma"/>
          <w:sz w:val="20"/>
          <w:szCs w:val="20"/>
        </w:rPr>
        <w:t xml:space="preserve"> remitió a la Entidad, lo siguiente: </w:t>
      </w:r>
      <w:r w:rsidRPr="007E6B15">
        <w:rPr>
          <w:rFonts w:ascii="Tahoma" w:hAnsi="Tahoma" w:cs="Tahoma"/>
          <w:b/>
          <w:sz w:val="20"/>
          <w:szCs w:val="20"/>
        </w:rPr>
        <w:t>(i)</w:t>
      </w:r>
      <w:r w:rsidRPr="007E6B15">
        <w:rPr>
          <w:rFonts w:ascii="Tahoma" w:hAnsi="Tahoma" w:cs="Tahoma"/>
          <w:sz w:val="20"/>
          <w:szCs w:val="20"/>
        </w:rPr>
        <w:t xml:space="preserve"> Memorias Descriptivas; </w:t>
      </w:r>
      <w:r w:rsidRPr="007E6B15">
        <w:rPr>
          <w:rFonts w:ascii="Tahoma" w:hAnsi="Tahoma" w:cs="Tahoma"/>
          <w:b/>
          <w:sz w:val="20"/>
          <w:szCs w:val="20"/>
        </w:rPr>
        <w:t xml:space="preserve">(ii) </w:t>
      </w:r>
      <w:r w:rsidRPr="007E6B15">
        <w:rPr>
          <w:rFonts w:ascii="Tahoma" w:hAnsi="Tahoma" w:cs="Tahoma"/>
          <w:sz w:val="20"/>
          <w:szCs w:val="20"/>
        </w:rPr>
        <w:t xml:space="preserve">Planos de Levantamiento Topográfico; </w:t>
      </w:r>
      <w:r w:rsidRPr="007E6B15">
        <w:rPr>
          <w:rFonts w:ascii="Tahoma" w:hAnsi="Tahoma" w:cs="Tahoma"/>
          <w:b/>
          <w:sz w:val="20"/>
          <w:szCs w:val="20"/>
        </w:rPr>
        <w:t>(iii)</w:t>
      </w:r>
      <w:r w:rsidRPr="007E6B15">
        <w:rPr>
          <w:rFonts w:ascii="Tahoma" w:hAnsi="Tahoma" w:cs="Tahoma"/>
          <w:sz w:val="20"/>
          <w:szCs w:val="20"/>
        </w:rPr>
        <w:t xml:space="preserve"> Planos de Ubicación; y </w:t>
      </w:r>
      <w:r w:rsidRPr="007E6B15">
        <w:rPr>
          <w:rFonts w:ascii="Tahoma" w:hAnsi="Tahoma" w:cs="Tahoma"/>
          <w:b/>
          <w:sz w:val="20"/>
          <w:szCs w:val="20"/>
        </w:rPr>
        <w:t>(iV)</w:t>
      </w:r>
      <w:r w:rsidRPr="007E6B15">
        <w:rPr>
          <w:rFonts w:ascii="Tahoma" w:hAnsi="Tahoma" w:cs="Tahoma"/>
          <w:sz w:val="20"/>
          <w:szCs w:val="20"/>
        </w:rPr>
        <w:t xml:space="preserve"> Planos de Localización de los terrenos ubicados en los distritos de San Martin de Pangoa, Pichanaki, Pampa del Carmen y Satipo. Adicionalmente a ello, el Contratista cumplió con remitir las declaraciones juradas de los trabajos ejecutados confirme Decreto Supremo № 130-2001-EF</w:t>
      </w:r>
      <w:r w:rsidRPr="007E6B15">
        <w:rPr>
          <w:rStyle w:val="Refdenotaalpie"/>
          <w:rFonts w:ascii="Tahoma" w:hAnsi="Tahoma" w:cs="Tahoma"/>
          <w:sz w:val="20"/>
          <w:szCs w:val="20"/>
        </w:rPr>
        <w:footnoteReference w:id="9"/>
      </w:r>
      <w:r w:rsidRPr="007E6B15">
        <w:rPr>
          <w:rFonts w:ascii="Tahoma" w:hAnsi="Tahoma" w:cs="Tahoma"/>
          <w:sz w:val="20"/>
          <w:szCs w:val="20"/>
        </w:rPr>
        <w:t>.</w:t>
      </w:r>
    </w:p>
    <w:p w:rsidR="007E6B15" w:rsidRPr="007E6B15" w:rsidRDefault="007E6B15" w:rsidP="007E6B15">
      <w:pPr>
        <w:pStyle w:val="Textoindependiente"/>
        <w:widowControl w:val="0"/>
        <w:suppressAutoHyphens/>
        <w:ind w:left="567"/>
        <w:rPr>
          <w:rFonts w:ascii="Tahoma" w:hAnsi="Tahoma" w:cs="Tahoma"/>
          <w:sz w:val="20"/>
          <w:szCs w:val="20"/>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 xml:space="preserve">Nótese, </w:t>
      </w:r>
      <w:r w:rsidRPr="007E6B15">
        <w:rPr>
          <w:rFonts w:ascii="Tahoma" w:hAnsi="Tahoma" w:cs="Tahoma"/>
          <w:sz w:val="20"/>
          <w:szCs w:val="20"/>
          <w:lang w:val="es-MX"/>
        </w:rPr>
        <w:t>entonces, que a través de la referida misiva el Contratista cumplió con los estipulado en los numerales 3.3.1, 3.3.2 y 3.3.3 de los términos de referencia descritos en el numeral 17 de la presente Fundamentación, sin embargo, de la misma se desprende que el Contratista no cumplió con presentar documento alguno que acredite el cumplimiento del numeral 3.3.4 de los citados términos de referencia, es decir, que aquél presentó ante la SUNARP los expedientes respectivos para la inscripción definitiva de los terrenos antes mencionados.</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 xml:space="preserve">Dentro de este contexto, la Entidad –mediante Carta Notarial № 001-2010-P-CSJJU/PJ diligenciada el 24 de marzo de 2010– comunicó al Contratista que, habiéndose vencido el plazo del servicio contratado, le otorgaba el plazo de cinco (5) días calendario para que </w:t>
      </w:r>
      <w:r w:rsidRPr="007E6B15">
        <w:rPr>
          <w:rFonts w:ascii="Tahoma" w:hAnsi="Tahoma" w:cs="Tahoma"/>
          <w:sz w:val="20"/>
          <w:szCs w:val="20"/>
          <w:u w:val="single"/>
        </w:rPr>
        <w:t>cumpla con la inscripción conforme se encuentra establecido en los requerimientos técnicos de las Bases</w:t>
      </w:r>
      <w:r w:rsidRPr="007E6B15">
        <w:rPr>
          <w:rFonts w:ascii="Tahoma" w:hAnsi="Tahoma" w:cs="Tahoma"/>
          <w:sz w:val="20"/>
          <w:szCs w:val="20"/>
        </w:rPr>
        <w:t>, hecho que importa un claro incumplimiento de lo establecido en la Cláusula Octava del Contrato № 035-2009-P-CSJJU/PJ; bajo apercibimiento de proceder a la resolución contractual.</w:t>
      </w:r>
    </w:p>
    <w:p w:rsidR="007E6B15" w:rsidRPr="007E6B15" w:rsidRDefault="007E6B15" w:rsidP="007E6B15">
      <w:pPr>
        <w:pStyle w:val="Prrafodelista"/>
        <w:rPr>
          <w:rFonts w:ascii="Tahoma" w:hAnsi="Tahoma" w:cs="Tahoma"/>
        </w:rPr>
      </w:pPr>
    </w:p>
    <w:p w:rsidR="007E6B15" w:rsidRPr="007E6B15" w:rsidRDefault="007E6B15" w:rsidP="00595709">
      <w:pPr>
        <w:pStyle w:val="Textoindependiente"/>
        <w:widowControl w:val="0"/>
        <w:suppressAutoHyphens/>
        <w:ind w:left="567"/>
        <w:jc w:val="both"/>
        <w:rPr>
          <w:rFonts w:ascii="Tahoma" w:hAnsi="Tahoma" w:cs="Tahoma"/>
          <w:sz w:val="20"/>
          <w:szCs w:val="20"/>
        </w:rPr>
      </w:pPr>
      <w:r w:rsidRPr="007E6B15">
        <w:rPr>
          <w:rFonts w:ascii="Tahoma" w:hAnsi="Tahoma" w:cs="Tahoma"/>
          <w:sz w:val="20"/>
          <w:szCs w:val="20"/>
        </w:rPr>
        <w:t>En respuesta a ello, el 26 de marzo de 2010, a través de la Carta Notarial s/n, el Contratista comunicó a la Entidad lo siguiente:</w:t>
      </w:r>
    </w:p>
    <w:p w:rsidR="007E6B15" w:rsidRPr="007E6B15" w:rsidRDefault="006D56EB" w:rsidP="007E6B15">
      <w:pPr>
        <w:pStyle w:val="Textoindependiente"/>
        <w:widowControl w:val="0"/>
        <w:suppressAutoHyphens/>
        <w:rPr>
          <w:rFonts w:ascii="Tahoma" w:hAnsi="Tahoma" w:cs="Tahoma"/>
          <w:sz w:val="20"/>
          <w:szCs w:val="20"/>
        </w:rPr>
      </w:pPr>
      <w:r w:rsidRPr="006D56EB">
        <w:rPr>
          <w:rFonts w:ascii="Tahoma" w:hAnsi="Tahoma" w:cs="Tahoma"/>
          <w:noProof/>
          <w:sz w:val="20"/>
          <w:szCs w:val="20"/>
          <w:lang w:val="es-ES_tradnl" w:eastAsia="en-US"/>
        </w:rPr>
        <w:pict>
          <v:rect id="_x0000_s1029" style="position:absolute;margin-left:61.2pt;margin-top:2.4pt;width:337.5pt;height:136.35pt;z-index:251661312">
            <v:textbox style="mso-next-textbox:#_x0000_s1029">
              <w:txbxContent>
                <w:p w:rsidR="007E6B15" w:rsidRPr="00595709" w:rsidRDefault="007E6B15" w:rsidP="007E6B15">
                  <w:pPr>
                    <w:pStyle w:val="Textoindependiente"/>
                    <w:widowControl w:val="0"/>
                    <w:suppressAutoHyphens/>
                    <w:rPr>
                      <w:rFonts w:ascii="Tahoma" w:hAnsi="Tahoma" w:cs="Tahoma"/>
                      <w:sz w:val="14"/>
                      <w:szCs w:val="14"/>
                    </w:rPr>
                  </w:pPr>
                  <w:r w:rsidRPr="00595709">
                    <w:rPr>
                      <w:rFonts w:ascii="Tahoma" w:hAnsi="Tahoma" w:cs="Tahoma"/>
                      <w:b/>
                      <w:sz w:val="14"/>
                      <w:szCs w:val="14"/>
                    </w:rPr>
                    <w:t>(i)</w:t>
                  </w:r>
                  <w:r w:rsidRPr="00595709">
                    <w:rPr>
                      <w:rFonts w:ascii="Tahoma" w:hAnsi="Tahoma" w:cs="Tahoma"/>
                      <w:sz w:val="14"/>
                      <w:szCs w:val="14"/>
                    </w:rPr>
                    <w:t xml:space="preserve"> </w:t>
                  </w:r>
                  <w:r w:rsidRPr="00595709">
                    <w:rPr>
                      <w:rFonts w:ascii="Tahoma" w:hAnsi="Tahoma" w:cs="Tahoma"/>
                      <w:b/>
                      <w:sz w:val="14"/>
                      <w:szCs w:val="14"/>
                    </w:rPr>
                    <w:t>Terrenos a Sanear del Distrito de Pampa del Carmen</w:t>
                  </w:r>
                </w:p>
                <w:p w:rsidR="007E6B15" w:rsidRPr="00595709" w:rsidRDefault="007E6B15" w:rsidP="007E6B15">
                  <w:pPr>
                    <w:rPr>
                      <w:rFonts w:ascii="Tahoma" w:hAnsi="Tahoma" w:cs="Tahoma"/>
                      <w:b/>
                      <w:bCs/>
                      <w:sz w:val="14"/>
                      <w:szCs w:val="14"/>
                    </w:rPr>
                  </w:pPr>
                </w:p>
                <w:p w:rsidR="007E6B15" w:rsidRPr="00595709" w:rsidRDefault="007E6B15" w:rsidP="007E6B15">
                  <w:pPr>
                    <w:rPr>
                      <w:rFonts w:ascii="Tahoma" w:hAnsi="Tahoma" w:cs="Tahoma"/>
                      <w:bCs/>
                      <w:sz w:val="14"/>
                      <w:szCs w:val="14"/>
                    </w:rPr>
                  </w:pPr>
                  <w:r w:rsidRPr="00595709">
                    <w:rPr>
                      <w:rFonts w:ascii="Tahoma" w:hAnsi="Tahoma" w:cs="Tahoma"/>
                      <w:bCs/>
                      <w:sz w:val="14"/>
                      <w:szCs w:val="14"/>
                    </w:rPr>
                    <w:t xml:space="preserve">Se coordinó con la Dra. </w:t>
                  </w:r>
                  <w:r w:rsidRPr="00595709">
                    <w:rPr>
                      <w:rFonts w:ascii="Tahoma" w:hAnsi="Tahoma" w:cs="Tahoma"/>
                      <w:sz w:val="14"/>
                      <w:szCs w:val="14"/>
                    </w:rPr>
                    <w:t xml:space="preserve">Rosario Gaspar y la Municipalidad Provincial, encontrándose que el terreno materia de la Donación se encontraba en proceso la sub División y Cambio de Uso otros fines con lo cual recién la Municipalidad de Chanchamayo podría disponer de este terreno para efectuar la Donación, ya que actualmente pertenece a la Urbanización El Paraiso. </w:t>
                  </w:r>
                  <w:r w:rsidRPr="00595709">
                    <w:rPr>
                      <w:rFonts w:ascii="Tahoma" w:hAnsi="Tahoma" w:cs="Tahoma"/>
                      <w:i/>
                      <w:sz w:val="14"/>
                      <w:szCs w:val="14"/>
                    </w:rPr>
                    <w:t>(sic)</w:t>
                  </w:r>
                </w:p>
                <w:p w:rsidR="007E6B15" w:rsidRPr="00595709" w:rsidRDefault="007E6B15" w:rsidP="007E6B15">
                  <w:pPr>
                    <w:pStyle w:val="Sinespaciado"/>
                    <w:jc w:val="both"/>
                    <w:rPr>
                      <w:rFonts w:ascii="Tahoma" w:hAnsi="Tahoma" w:cs="Tahoma"/>
                      <w:i/>
                      <w:sz w:val="14"/>
                      <w:szCs w:val="14"/>
                    </w:rPr>
                  </w:pPr>
                </w:p>
                <w:p w:rsidR="007E6B15" w:rsidRPr="00595709" w:rsidRDefault="007E6B15" w:rsidP="007E6B15">
                  <w:pPr>
                    <w:pStyle w:val="Sinespaciado"/>
                    <w:jc w:val="both"/>
                    <w:rPr>
                      <w:rFonts w:ascii="Tahoma" w:hAnsi="Tahoma" w:cs="Tahoma"/>
                      <w:b/>
                      <w:sz w:val="14"/>
                      <w:szCs w:val="14"/>
                    </w:rPr>
                  </w:pPr>
                  <w:r w:rsidRPr="00595709">
                    <w:rPr>
                      <w:rFonts w:ascii="Tahoma" w:hAnsi="Tahoma" w:cs="Tahoma"/>
                      <w:i/>
                      <w:sz w:val="14"/>
                      <w:szCs w:val="14"/>
                    </w:rPr>
                    <w:t xml:space="preserve"> </w:t>
                  </w:r>
                  <w:r w:rsidRPr="00595709">
                    <w:rPr>
                      <w:rFonts w:ascii="Tahoma" w:hAnsi="Tahoma" w:cs="Tahoma"/>
                      <w:b/>
                      <w:sz w:val="14"/>
                      <w:szCs w:val="14"/>
                    </w:rPr>
                    <w:t>(ii) Terrenos a Sanear del Distrito de Satipo</w:t>
                  </w:r>
                </w:p>
                <w:p w:rsidR="007E6B15" w:rsidRPr="00595709" w:rsidRDefault="007E6B15" w:rsidP="007E6B15">
                  <w:pPr>
                    <w:pStyle w:val="Sinespaciado"/>
                    <w:jc w:val="both"/>
                    <w:rPr>
                      <w:rFonts w:ascii="Tahoma" w:hAnsi="Tahoma" w:cs="Tahoma"/>
                      <w:sz w:val="14"/>
                      <w:szCs w:val="14"/>
                    </w:rPr>
                  </w:pPr>
                </w:p>
                <w:p w:rsidR="007E6B15" w:rsidRPr="00595709" w:rsidRDefault="007E6B15" w:rsidP="007E6B15">
                  <w:pPr>
                    <w:rPr>
                      <w:rFonts w:ascii="Tahoma" w:hAnsi="Tahoma" w:cs="Tahoma"/>
                      <w:bCs/>
                      <w:sz w:val="14"/>
                      <w:szCs w:val="14"/>
                    </w:rPr>
                  </w:pPr>
                  <w:r w:rsidRPr="00595709">
                    <w:rPr>
                      <w:rFonts w:ascii="Tahoma" w:hAnsi="Tahoma" w:cs="Tahoma"/>
                      <w:bCs/>
                      <w:sz w:val="14"/>
                      <w:szCs w:val="14"/>
                    </w:rPr>
                    <w:t xml:space="preserve">Se coordinó con la Dra. Zoraida Zurichaqui y la Municipalidad Provincial, en este lugar se tuvo que recurrir a la Municipalidad para que no determine cuál era el área de donación ya que se este se encontraba dentro del terreno para el uso del Aeródromo Satipo faltando efectuar la Resolución de Independizacion por parte de la Municipalidad para luego efectuar la Minuta de Registro de Escritura de Donación, y se procesa a elevar la escritura pública. </w:t>
                  </w:r>
                  <w:r w:rsidRPr="00595709">
                    <w:rPr>
                      <w:rFonts w:ascii="Tahoma" w:hAnsi="Tahoma" w:cs="Tahoma"/>
                      <w:bCs/>
                      <w:i/>
                      <w:sz w:val="14"/>
                      <w:szCs w:val="14"/>
                    </w:rPr>
                    <w:t>(sic)</w:t>
                  </w:r>
                </w:p>
                <w:p w:rsidR="007E6B15" w:rsidRDefault="007E6B15" w:rsidP="007E6B15">
                  <w:pPr>
                    <w:pStyle w:val="Sinespaciado"/>
                    <w:rPr>
                      <w:rFonts w:ascii="Tahoma" w:hAnsi="Tahoma" w:cs="Tahoma"/>
                      <w:sz w:val="18"/>
                      <w:szCs w:val="18"/>
                    </w:rPr>
                  </w:pPr>
                </w:p>
                <w:p w:rsidR="007E6B15" w:rsidRPr="00CE34DA" w:rsidRDefault="007E6B15" w:rsidP="007E6B15">
                  <w:pPr>
                    <w:pStyle w:val="Sinespaciado"/>
                    <w:rPr>
                      <w:rFonts w:ascii="Tahoma" w:hAnsi="Tahoma" w:cs="Tahoma"/>
                      <w:sz w:val="18"/>
                      <w:szCs w:val="18"/>
                    </w:rPr>
                  </w:pPr>
                </w:p>
                <w:p w:rsidR="007E6B15" w:rsidRPr="00CE34DA" w:rsidRDefault="007E6B15" w:rsidP="007E6B15">
                  <w:pPr>
                    <w:pStyle w:val="Sinespaciado"/>
                    <w:rPr>
                      <w:rFonts w:ascii="Tahoma" w:hAnsi="Tahoma" w:cs="Tahoma"/>
                      <w:b/>
                      <w:sz w:val="18"/>
                      <w:szCs w:val="18"/>
                    </w:rPr>
                  </w:pPr>
                </w:p>
              </w:txbxContent>
            </v:textbox>
          </v:rect>
        </w:pict>
      </w:r>
    </w:p>
    <w:p w:rsidR="007E6B15" w:rsidRPr="007E6B15" w:rsidRDefault="007E6B15" w:rsidP="007E6B15">
      <w:pPr>
        <w:pStyle w:val="Textoindependiente"/>
        <w:widowControl w:val="0"/>
        <w:suppressAutoHyphens/>
        <w:rPr>
          <w:rFonts w:ascii="Tahoma" w:hAnsi="Tahoma" w:cs="Tahoma"/>
          <w:sz w:val="20"/>
          <w:szCs w:val="20"/>
        </w:rPr>
      </w:pPr>
    </w:p>
    <w:p w:rsidR="007E6B15" w:rsidRPr="007E6B15" w:rsidRDefault="007E6B15" w:rsidP="007E6B15">
      <w:pPr>
        <w:pStyle w:val="Prrafodelista"/>
        <w:ind w:left="1276" w:hanging="556"/>
        <w:rPr>
          <w:rFonts w:ascii="Tahoma" w:hAnsi="Tahoma" w:cs="Tahoma"/>
        </w:rPr>
      </w:pPr>
    </w:p>
    <w:p w:rsidR="007E6B15" w:rsidRPr="007E6B15" w:rsidRDefault="007E6B15" w:rsidP="007E6B15">
      <w:pPr>
        <w:pStyle w:val="Prrafodelista"/>
        <w:ind w:left="1276" w:hanging="556"/>
        <w:rPr>
          <w:rFonts w:ascii="Tahoma" w:hAnsi="Tahoma" w:cs="Tahoma"/>
        </w:rPr>
      </w:pPr>
    </w:p>
    <w:p w:rsidR="007E6B15" w:rsidRPr="007E6B15" w:rsidRDefault="007E6B15" w:rsidP="007E6B15">
      <w:pPr>
        <w:pStyle w:val="Prrafodelista"/>
        <w:rPr>
          <w:rFonts w:ascii="Tahoma" w:hAnsi="Tahoma" w:cs="Tahoma"/>
        </w:rPr>
      </w:pPr>
    </w:p>
    <w:p w:rsidR="007E6B15" w:rsidRPr="007E6B15" w:rsidRDefault="007E6B15" w:rsidP="007E6B15">
      <w:pPr>
        <w:pStyle w:val="Prrafodelista"/>
        <w:rPr>
          <w:rFonts w:ascii="Tahoma" w:hAnsi="Tahoma" w:cs="Tahoma"/>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ind w:left="567"/>
        <w:rPr>
          <w:rFonts w:ascii="Tahoma" w:hAnsi="Tahoma" w:cs="Tahoma"/>
          <w:sz w:val="20"/>
          <w:szCs w:val="20"/>
        </w:rPr>
      </w:pPr>
    </w:p>
    <w:p w:rsidR="007E6B15" w:rsidRPr="007E6B15" w:rsidRDefault="007E6B15" w:rsidP="007E6B15">
      <w:pPr>
        <w:pStyle w:val="Prrafodelista"/>
        <w:rPr>
          <w:rFonts w:ascii="Tahoma" w:hAnsi="Tahoma" w:cs="Tahoma"/>
        </w:rPr>
      </w:pPr>
    </w:p>
    <w:p w:rsidR="007E6B15" w:rsidRPr="007E6B15" w:rsidRDefault="007E6B15" w:rsidP="007E6B15">
      <w:pPr>
        <w:pStyle w:val="Prrafodelista"/>
        <w:numPr>
          <w:ilvl w:val="0"/>
          <w:numId w:val="4"/>
        </w:numPr>
        <w:ind w:left="567" w:hanging="567"/>
        <w:contextualSpacing w:val="0"/>
        <w:jc w:val="both"/>
        <w:rPr>
          <w:rFonts w:ascii="Tahoma" w:hAnsi="Tahoma" w:cs="Tahoma"/>
          <w:lang w:val="es-MX"/>
        </w:rPr>
      </w:pPr>
      <w:r w:rsidRPr="007E6B15">
        <w:rPr>
          <w:rFonts w:ascii="Tahoma" w:hAnsi="Tahoma" w:cs="Tahoma"/>
          <w:lang w:val="es-MX"/>
        </w:rPr>
        <w:t xml:space="preserve">Posteriormente, </w:t>
      </w:r>
      <w:r w:rsidRPr="007E6B15">
        <w:rPr>
          <w:rFonts w:ascii="Tahoma" w:hAnsi="Tahoma" w:cs="Tahoma"/>
        </w:rPr>
        <w:t xml:space="preserve">a través de la Carta Notarial № 002-2010-P-CSJJU/PJ diligenciada el 15 de abril del mismo año, la Entidad comunicó al Contratista que, al no haber cumplido con sus obligaciones contractuales, procedía a resolver el Contrato № 035-2009-P-CSJJU/PJ. </w:t>
      </w: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numPr>
          <w:ilvl w:val="0"/>
          <w:numId w:val="4"/>
        </w:numPr>
        <w:ind w:left="567" w:hanging="567"/>
        <w:contextualSpacing w:val="0"/>
        <w:jc w:val="both"/>
        <w:rPr>
          <w:rFonts w:ascii="Tahoma" w:hAnsi="Tahoma" w:cs="Tahoma"/>
          <w:lang w:val="es-MX"/>
        </w:rPr>
      </w:pPr>
      <w:r w:rsidRPr="007E6B15">
        <w:rPr>
          <w:rFonts w:ascii="Tahoma" w:hAnsi="Tahoma" w:cs="Tahoma"/>
          <w:lang w:val="es-MX"/>
        </w:rPr>
        <w:t>No obstante ello, para que el Contratista cumpla con hacer efectivo el requerimiento realizado por la Entidad, y así, dar cumplimiento al numeral 3.3.4 de los términos de referencia del Capítulo III de las Bases, la Entidad de manera antelada debía realizar actos previos entre ésta y la municipalidades donantes de los terrenos (ubicados en los distritos de Pampa del Carmen y Satipo), toda vez que de la lectura de las Bases Administrativas materia del presente proceso de selección, dicha obligación no se encontraba dentro de la esfera de responsabilidad que asumía el Contratista frente a la Entidad, más aún, si las citadas Bases consignaron que el saneamiento físico legal a realizar correspondían a los terrenos de la Entidad; sin embargo, conforme se ha verificado en autos, aquéllos terrenos ubicados en los distritos de Pampa del Carmen y Satipo pertenecían a la Municipalidad de Chanchamayo y Satipo, respectivamente, sin que éstas los hayan  transferido y/o donado a favor de la Corte Superior de Justicia de Junin.</w:t>
      </w:r>
    </w:p>
    <w:p w:rsidR="007E6B15" w:rsidRPr="007E6B15" w:rsidRDefault="007E6B15" w:rsidP="007E6B15">
      <w:pPr>
        <w:pStyle w:val="Prrafodelista"/>
        <w:rPr>
          <w:rFonts w:ascii="Tahoma" w:hAnsi="Tahoma" w:cs="Tahoma"/>
        </w:rPr>
      </w:pPr>
    </w:p>
    <w:p w:rsidR="007E6B15" w:rsidRPr="007E6B15" w:rsidRDefault="007E6B15" w:rsidP="007E6B15">
      <w:pPr>
        <w:pStyle w:val="Prrafodelista"/>
        <w:numPr>
          <w:ilvl w:val="0"/>
          <w:numId w:val="4"/>
        </w:numPr>
        <w:ind w:left="567" w:hanging="567"/>
        <w:contextualSpacing w:val="0"/>
        <w:jc w:val="both"/>
        <w:rPr>
          <w:rFonts w:ascii="Tahoma" w:hAnsi="Tahoma" w:cs="Tahoma"/>
          <w:lang w:val="es-MX"/>
        </w:rPr>
      </w:pPr>
      <w:r w:rsidRPr="007E6B15">
        <w:rPr>
          <w:rFonts w:ascii="Tahoma" w:hAnsi="Tahoma" w:cs="Tahoma"/>
        </w:rPr>
        <w:t xml:space="preserve">En efecto, de la lectura de los Términos de Referencia contenidos en las Bases Administrativas del proceso de selección se advierte que los mismos tampoco contienen referencia alguna que permitiera advertir y mucho menos concluir en la existencia de la obligación del Contratista en realizar trámites de Sub División y Cambio de Usos para otros fines que correspondía que se realice a fin de cumplir con el saneamiento legal del terreno </w:t>
      </w:r>
      <w:r w:rsidRPr="007E6B15">
        <w:rPr>
          <w:rFonts w:ascii="Tahoma" w:hAnsi="Tahoma" w:cs="Tahoma"/>
        </w:rPr>
        <w:lastRenderedPageBreak/>
        <w:t>ubicado en el distrito de Pampa del Carmen; así como la independización del terreno ubicado en Satipo, el cual se encontraba en uso para el aeródromo de Satipo; y en dicho sentido, carecería de todo sustento y fundamento requerir la presentación de los expedientes ante la SUNARP hasta su inscripción definitiva de los citados terrenos, ello en la medida que conforme a lo señalado en el numeral anterior, las municipalidades donantes debían realizar, entre otros,  independizaciones, subdivisiones de los terrenos que querían donar a la Entidad; obligaciones que no resultaban ser exigibles al Contratista; y por el contrario, ello parecía ser una obligación que debía ser atendida por la Entidad.</w:t>
      </w: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numPr>
          <w:ilvl w:val="0"/>
          <w:numId w:val="4"/>
        </w:numPr>
        <w:ind w:left="567" w:hanging="567"/>
        <w:contextualSpacing w:val="0"/>
        <w:jc w:val="both"/>
        <w:rPr>
          <w:rFonts w:ascii="Tahoma" w:hAnsi="Tahoma" w:cs="Tahoma"/>
          <w:lang w:val="es-MX"/>
        </w:rPr>
      </w:pPr>
      <w:r w:rsidRPr="007E6B15">
        <w:rPr>
          <w:rFonts w:ascii="Tahoma" w:hAnsi="Tahoma" w:cs="Tahoma"/>
        </w:rPr>
        <w:t xml:space="preserve">En consecuencia, la no presentación de los expedientes legales ante Registros Públicos de los terrenos ubicados en </w:t>
      </w:r>
      <w:r w:rsidRPr="007E6B15">
        <w:rPr>
          <w:rFonts w:ascii="Tahoma" w:hAnsi="Tahoma" w:cs="Tahoma"/>
          <w:lang w:val="es-MX"/>
        </w:rPr>
        <w:t>los distritos de Pampa del Carmen y Satipo</w:t>
      </w:r>
      <w:r w:rsidRPr="007E6B15">
        <w:rPr>
          <w:rFonts w:ascii="Tahoma" w:hAnsi="Tahoma" w:cs="Tahoma"/>
        </w:rPr>
        <w:t xml:space="preserve"> no resultan ser imputables al Contratista, ello en estricta observancia del </w:t>
      </w:r>
      <w:r w:rsidRPr="007E6B15">
        <w:rPr>
          <w:rFonts w:ascii="Tahoma" w:hAnsi="Tahoma" w:cs="Tahoma"/>
          <w:i/>
        </w:rPr>
        <w:t>Principio de Tipicidad</w:t>
      </w:r>
      <w:r w:rsidRPr="007E6B15">
        <w:rPr>
          <w:rFonts w:ascii="Tahoma" w:hAnsi="Tahoma" w:cs="Tahoma"/>
        </w:rPr>
        <w:t xml:space="preserve"> previsto en el artículo 230 de la Ley № 27444, del Procedimiento Administrativo General, en cuya virtud sólo constituyen conductas sancionables administrativamente las infracciones previstas expresamente en normas con rango de ley mediante su tipificación como tales, sin admitir interpretación extensiva o por analogía. </w:t>
      </w:r>
    </w:p>
    <w:p w:rsidR="007E6B15" w:rsidRPr="007E6B15" w:rsidRDefault="007E6B15" w:rsidP="007E6B15">
      <w:pPr>
        <w:pStyle w:val="Prrafodelista"/>
        <w:rPr>
          <w:rFonts w:ascii="Tahoma" w:hAnsi="Tahoma" w:cs="Tahoma"/>
          <w:lang w:val="es-MX"/>
        </w:rPr>
      </w:pPr>
    </w:p>
    <w:p w:rsidR="007E6B15" w:rsidRPr="007E6B15" w:rsidRDefault="007E6B15" w:rsidP="007E6B15">
      <w:pPr>
        <w:pStyle w:val="Prrafodelista"/>
        <w:numPr>
          <w:ilvl w:val="0"/>
          <w:numId w:val="4"/>
        </w:numPr>
        <w:ind w:left="567" w:hanging="567"/>
        <w:contextualSpacing w:val="0"/>
        <w:jc w:val="both"/>
        <w:rPr>
          <w:rFonts w:ascii="Tahoma" w:hAnsi="Tahoma" w:cs="Tahoma"/>
          <w:lang w:val="es-MX"/>
        </w:rPr>
      </w:pPr>
      <w:r w:rsidRPr="007E6B15">
        <w:rPr>
          <w:rFonts w:ascii="Tahoma" w:hAnsi="Tahoma" w:cs="Tahoma"/>
          <w:lang w:val="es-MX"/>
        </w:rPr>
        <w:t xml:space="preserve">Sin embargo, el Contratista no sólo estaba obligado a presentar los expedientes legales de los terrenos ubicados en los distritos de Pampa del Carmen y Satipo ante la SUNARP sino también, éste estaba obligado a presentar los expedientes de los terrenos ubicados en los distritos de San Martin de Pangoa y Pichanaki ante dicha institución registral, conforme lo estableció el numeral 2 del Capítulo III de las Bases del presente proceso de selección, de tal manera que éstos puedan estar inscritos ante los Registros Públicos, a tenor de lo estipulado en el numeral 3.3.4 de los términos de referencia de las citadas Bases en concordancia con la Cláusula Octava del mencionado contrato, obligación que fue requerida por la Entidad – a través </w:t>
      </w:r>
      <w:r w:rsidRPr="007E6B15">
        <w:rPr>
          <w:rFonts w:ascii="Tahoma" w:hAnsi="Tahoma" w:cs="Tahoma"/>
        </w:rPr>
        <w:t>Carta Notarial № 001-2010-P-CSJJU/PJ</w:t>
      </w:r>
      <w:r w:rsidRPr="007E6B15">
        <w:rPr>
          <w:rFonts w:ascii="Tahoma" w:hAnsi="Tahoma" w:cs="Tahoma"/>
          <w:lang w:val="es-MX"/>
        </w:rPr>
        <w:t>– la misma que fue atendida por el Contratista, según el siguiente detalle</w:t>
      </w:r>
      <w:r w:rsidRPr="007E6B15">
        <w:rPr>
          <w:rStyle w:val="Refdenotaalpie"/>
          <w:rFonts w:ascii="Tahoma" w:hAnsi="Tahoma" w:cs="Tahoma"/>
          <w:lang w:val="es-MX"/>
        </w:rPr>
        <w:footnoteReference w:id="10"/>
      </w:r>
      <w:r w:rsidRPr="007E6B15">
        <w:rPr>
          <w:rFonts w:ascii="Tahoma" w:hAnsi="Tahoma" w:cs="Tahoma"/>
          <w:lang w:val="es-MX"/>
        </w:rPr>
        <w:t>:</w:t>
      </w:r>
    </w:p>
    <w:p w:rsidR="007E6B15" w:rsidRPr="007E6B15" w:rsidRDefault="007E6B15" w:rsidP="007E6B15">
      <w:pPr>
        <w:pStyle w:val="Textoindependiente"/>
        <w:widowControl w:val="0"/>
        <w:suppressAutoHyphens/>
        <w:ind w:left="720"/>
        <w:rPr>
          <w:rFonts w:ascii="Tahoma" w:hAnsi="Tahoma" w:cs="Tahoma"/>
          <w:sz w:val="20"/>
          <w:szCs w:val="20"/>
        </w:rPr>
      </w:pPr>
    </w:p>
    <w:p w:rsidR="007E6B15" w:rsidRPr="007E6B15" w:rsidRDefault="006D56EB" w:rsidP="00595709">
      <w:pPr>
        <w:pStyle w:val="Textoindependiente"/>
        <w:widowControl w:val="0"/>
        <w:suppressAutoHyphens/>
        <w:rPr>
          <w:rFonts w:ascii="Tahoma" w:hAnsi="Tahoma" w:cs="Tahoma"/>
          <w:sz w:val="20"/>
          <w:szCs w:val="20"/>
        </w:rPr>
      </w:pPr>
      <w:r w:rsidRPr="006D56EB">
        <w:rPr>
          <w:rFonts w:ascii="Tahoma" w:hAnsi="Tahoma" w:cs="Tahoma"/>
          <w:noProof/>
          <w:sz w:val="20"/>
          <w:szCs w:val="20"/>
          <w:lang w:val="es-ES_tradnl" w:eastAsia="en-US"/>
        </w:rPr>
        <w:pict>
          <v:rect id="_x0000_s1030" style="position:absolute;margin-left:61.2pt;margin-top:.5pt;width:337.5pt;height:189.45pt;z-index:251662336">
            <v:textbox style="mso-next-textbox:#_x0000_s1030">
              <w:txbxContent>
                <w:p w:rsidR="007E6B15" w:rsidRPr="00595709" w:rsidRDefault="007E6B15" w:rsidP="007E6B15">
                  <w:pPr>
                    <w:pStyle w:val="Textoindependiente"/>
                    <w:widowControl w:val="0"/>
                    <w:suppressAutoHyphens/>
                    <w:jc w:val="center"/>
                    <w:rPr>
                      <w:rFonts w:ascii="Tahoma" w:hAnsi="Tahoma" w:cs="Tahoma"/>
                      <w:b/>
                      <w:sz w:val="14"/>
                      <w:szCs w:val="14"/>
                    </w:rPr>
                  </w:pPr>
                  <w:r w:rsidRPr="00595709">
                    <w:rPr>
                      <w:rFonts w:ascii="Tahoma" w:hAnsi="Tahoma" w:cs="Tahoma"/>
                      <w:b/>
                      <w:sz w:val="14"/>
                      <w:szCs w:val="14"/>
                    </w:rPr>
                    <w:t>Carta Notarial</w:t>
                  </w:r>
                </w:p>
                <w:p w:rsidR="007E6B15" w:rsidRPr="00595709" w:rsidRDefault="007E6B15" w:rsidP="00595709">
                  <w:pPr>
                    <w:pStyle w:val="Textoindependiente"/>
                    <w:widowControl w:val="0"/>
                    <w:suppressAutoHyphens/>
                    <w:rPr>
                      <w:rFonts w:ascii="Tahoma" w:hAnsi="Tahoma" w:cs="Tahoma"/>
                      <w:b/>
                      <w:sz w:val="14"/>
                      <w:szCs w:val="14"/>
                    </w:rPr>
                  </w:pPr>
                  <w:r w:rsidRPr="00595709">
                    <w:rPr>
                      <w:rFonts w:ascii="Tahoma" w:hAnsi="Tahoma" w:cs="Tahoma"/>
                      <w:b/>
                      <w:sz w:val="14"/>
                      <w:szCs w:val="14"/>
                    </w:rPr>
                    <w:t>(…)</w:t>
                  </w:r>
                </w:p>
                <w:p w:rsidR="007E6B15" w:rsidRPr="00595709" w:rsidRDefault="007E6B15" w:rsidP="007E6B15">
                  <w:pPr>
                    <w:pStyle w:val="Textoindependiente"/>
                    <w:widowControl w:val="0"/>
                    <w:suppressAutoHyphens/>
                    <w:rPr>
                      <w:rFonts w:ascii="Tahoma" w:hAnsi="Tahoma" w:cs="Tahoma"/>
                      <w:sz w:val="14"/>
                      <w:szCs w:val="14"/>
                    </w:rPr>
                  </w:pPr>
                  <w:r w:rsidRPr="00595709">
                    <w:rPr>
                      <w:rFonts w:ascii="Tahoma" w:hAnsi="Tahoma" w:cs="Tahoma"/>
                      <w:b/>
                      <w:sz w:val="14"/>
                      <w:szCs w:val="14"/>
                    </w:rPr>
                    <w:t>iii)</w:t>
                  </w:r>
                  <w:r w:rsidRPr="00595709">
                    <w:rPr>
                      <w:rFonts w:ascii="Tahoma" w:hAnsi="Tahoma" w:cs="Tahoma"/>
                      <w:sz w:val="14"/>
                      <w:szCs w:val="14"/>
                    </w:rPr>
                    <w:t xml:space="preserve"> </w:t>
                  </w:r>
                  <w:r w:rsidRPr="00595709">
                    <w:rPr>
                      <w:rFonts w:ascii="Tahoma" w:hAnsi="Tahoma" w:cs="Tahoma"/>
                      <w:b/>
                      <w:sz w:val="14"/>
                      <w:szCs w:val="14"/>
                    </w:rPr>
                    <w:t>Terrenos a Sanear del Distrito San Martin de Pangoa</w:t>
                  </w:r>
                  <w:r w:rsidRPr="00595709">
                    <w:rPr>
                      <w:rFonts w:ascii="Tahoma" w:hAnsi="Tahoma" w:cs="Tahoma"/>
                      <w:sz w:val="14"/>
                      <w:szCs w:val="14"/>
                    </w:rPr>
                    <w:t xml:space="preserve"> </w:t>
                  </w:r>
                </w:p>
                <w:p w:rsidR="007E6B15" w:rsidRPr="00595709" w:rsidRDefault="007E6B15" w:rsidP="007E6B15">
                  <w:pPr>
                    <w:rPr>
                      <w:rFonts w:ascii="Tahoma" w:hAnsi="Tahoma" w:cs="Tahoma"/>
                      <w:b/>
                      <w:bCs/>
                      <w:sz w:val="14"/>
                      <w:szCs w:val="14"/>
                    </w:rPr>
                  </w:pPr>
                </w:p>
                <w:p w:rsidR="007E6B15" w:rsidRPr="00595709" w:rsidRDefault="007E6B15" w:rsidP="007E6B15">
                  <w:pPr>
                    <w:rPr>
                      <w:rFonts w:ascii="Tahoma" w:hAnsi="Tahoma" w:cs="Tahoma"/>
                      <w:bCs/>
                      <w:sz w:val="14"/>
                      <w:szCs w:val="14"/>
                    </w:rPr>
                  </w:pPr>
                  <w:r w:rsidRPr="00595709">
                    <w:rPr>
                      <w:rFonts w:ascii="Tahoma" w:hAnsi="Tahoma" w:cs="Tahoma"/>
                      <w:bCs/>
                      <w:sz w:val="14"/>
                      <w:szCs w:val="14"/>
                    </w:rPr>
                    <w:t>Se coordinó con el Juez Dr. Alberto Jara y la Municipalidad Distrital habiéndose compatibilizado la Minuta de Registro de Escritura de Donación emitida la Municipalidad de Pangoa, con los trabajos de levantamiento del terreno que se desarrollo, determinándose que las áreas se encuentran conformes, determinándose que se proceda a elevar la Escritura Pública y su inscripción correspondiente.</w:t>
                  </w:r>
                </w:p>
                <w:p w:rsidR="007E6B15" w:rsidRPr="00595709" w:rsidRDefault="007E6B15" w:rsidP="007E6B15">
                  <w:pPr>
                    <w:pStyle w:val="Sinespaciado"/>
                    <w:jc w:val="both"/>
                    <w:rPr>
                      <w:rFonts w:ascii="Tahoma" w:hAnsi="Tahoma" w:cs="Tahoma"/>
                      <w:i/>
                      <w:sz w:val="14"/>
                      <w:szCs w:val="14"/>
                    </w:rPr>
                  </w:pPr>
                </w:p>
                <w:p w:rsidR="007E6B15" w:rsidRPr="00595709" w:rsidRDefault="007E6B15" w:rsidP="007E6B15">
                  <w:pPr>
                    <w:pStyle w:val="Sinespaciado"/>
                    <w:jc w:val="both"/>
                    <w:rPr>
                      <w:rFonts w:ascii="Tahoma" w:hAnsi="Tahoma" w:cs="Tahoma"/>
                      <w:b/>
                      <w:sz w:val="14"/>
                      <w:szCs w:val="14"/>
                    </w:rPr>
                  </w:pPr>
                  <w:r w:rsidRPr="00595709">
                    <w:rPr>
                      <w:rFonts w:ascii="Tahoma" w:hAnsi="Tahoma" w:cs="Tahoma"/>
                      <w:i/>
                      <w:sz w:val="14"/>
                      <w:szCs w:val="14"/>
                    </w:rPr>
                    <w:t xml:space="preserve"> </w:t>
                  </w:r>
                  <w:r w:rsidRPr="00595709">
                    <w:rPr>
                      <w:rFonts w:ascii="Tahoma" w:hAnsi="Tahoma" w:cs="Tahoma"/>
                      <w:b/>
                      <w:sz w:val="14"/>
                      <w:szCs w:val="14"/>
                    </w:rPr>
                    <w:t>(iv) Terrenos a Sanear del Distrito Pichanaki</w:t>
                  </w:r>
                </w:p>
                <w:p w:rsidR="007E6B15" w:rsidRPr="00595709" w:rsidRDefault="007E6B15" w:rsidP="007E6B15">
                  <w:pPr>
                    <w:pStyle w:val="Sinespaciado"/>
                    <w:jc w:val="both"/>
                    <w:rPr>
                      <w:rFonts w:ascii="Tahoma" w:hAnsi="Tahoma" w:cs="Tahoma"/>
                      <w:sz w:val="14"/>
                      <w:szCs w:val="14"/>
                    </w:rPr>
                  </w:pPr>
                </w:p>
                <w:p w:rsidR="007E6B15" w:rsidRPr="00595709" w:rsidRDefault="007E6B15" w:rsidP="007E6B15">
                  <w:pPr>
                    <w:pStyle w:val="Sinespaciado"/>
                    <w:jc w:val="both"/>
                    <w:rPr>
                      <w:rFonts w:ascii="Tahoma" w:hAnsi="Tahoma" w:cs="Tahoma"/>
                      <w:sz w:val="14"/>
                      <w:szCs w:val="14"/>
                    </w:rPr>
                  </w:pPr>
                  <w:r w:rsidRPr="00595709">
                    <w:rPr>
                      <w:rFonts w:ascii="Tahoma" w:hAnsi="Tahoma" w:cs="Tahoma"/>
                      <w:sz w:val="14"/>
                      <w:szCs w:val="14"/>
                    </w:rPr>
                    <w:t>Se coordinó con la Dra. Rosario Gaspar y la Municipalidad Provincial, encontrándose que el expediente de independización del área de terreno elaborado por la Municipalidad se contaba con Resolución y que la Minuta de registro de Escritura de Donación ya se había elaborado y que faltaba sólo el pago respectivo para su inscripción. De acuerdo al levantamiento del terreno efectuado existía una diferencia de metrados, entre el área de independización aprobado y lo levantado, para no entorpecer la inscripción se recomendó primero se procesa con la inscripción de donación y que posterior se efectuará la rectificación del área del terreno por lo que ya se encuentra con la inscripción.</w:t>
                  </w:r>
                </w:p>
                <w:p w:rsidR="007E6B15" w:rsidRPr="00595709" w:rsidRDefault="007E6B15" w:rsidP="007E6B15">
                  <w:pPr>
                    <w:pStyle w:val="Sinespaciado"/>
                    <w:rPr>
                      <w:rFonts w:ascii="Tahoma" w:hAnsi="Tahoma" w:cs="Tahoma"/>
                      <w:sz w:val="14"/>
                      <w:szCs w:val="14"/>
                    </w:rPr>
                  </w:pPr>
                  <w:r w:rsidRPr="00595709">
                    <w:rPr>
                      <w:rFonts w:ascii="Tahoma" w:hAnsi="Tahoma" w:cs="Tahoma"/>
                      <w:sz w:val="14"/>
                      <w:szCs w:val="14"/>
                    </w:rPr>
                    <w:t>(sic)</w:t>
                  </w:r>
                </w:p>
              </w:txbxContent>
            </v:textbox>
          </v:rect>
        </w:pict>
      </w: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rPr>
          <w:rFonts w:ascii="Tahoma" w:hAnsi="Tahoma" w:cs="Tahoma"/>
          <w:sz w:val="20"/>
          <w:szCs w:val="20"/>
        </w:rPr>
      </w:pPr>
    </w:p>
    <w:p w:rsidR="007E6B15" w:rsidRPr="007E6B15" w:rsidRDefault="007E6B15" w:rsidP="007E6B15">
      <w:pPr>
        <w:tabs>
          <w:tab w:val="num" w:pos="567"/>
        </w:tabs>
        <w:ind w:left="567"/>
        <w:rPr>
          <w:rFonts w:ascii="Tahoma" w:hAnsi="Tahoma" w:cs="Tahoma"/>
          <w:sz w:val="20"/>
          <w:szCs w:val="20"/>
        </w:rPr>
      </w:pPr>
    </w:p>
    <w:p w:rsidR="007E6B15" w:rsidRPr="007E6B15" w:rsidRDefault="007E6B15" w:rsidP="007E6B15">
      <w:pPr>
        <w:pStyle w:val="Prrafodelista"/>
        <w:rPr>
          <w:rFonts w:ascii="Tahoma" w:hAnsi="Tahoma" w:cs="Tahoma"/>
        </w:rPr>
      </w:pPr>
    </w:p>
    <w:p w:rsidR="007E6B15" w:rsidRPr="007E6B15" w:rsidRDefault="007E6B15" w:rsidP="007E6B15">
      <w:pPr>
        <w:widowControl w:val="0"/>
        <w:autoSpaceDE w:val="0"/>
        <w:autoSpaceDN w:val="0"/>
        <w:adjustRightInd w:val="0"/>
        <w:ind w:left="567"/>
        <w:rPr>
          <w:rFonts w:ascii="Tahoma" w:hAnsi="Tahoma" w:cs="Tahoma"/>
          <w:sz w:val="20"/>
          <w:szCs w:val="20"/>
        </w:rPr>
      </w:pPr>
    </w:p>
    <w:p w:rsidR="007E6B15" w:rsidRPr="007E6B15" w:rsidRDefault="007E6B15" w:rsidP="007E6B15">
      <w:pPr>
        <w:pStyle w:val="Prrafodelista"/>
        <w:rPr>
          <w:rFonts w:ascii="Tahoma" w:hAnsi="Tahoma" w:cs="Tahoma"/>
        </w:rPr>
      </w:pPr>
    </w:p>
    <w:p w:rsidR="007E6B15" w:rsidRPr="007E6B15" w:rsidRDefault="007E6B15" w:rsidP="007E6B15">
      <w:pPr>
        <w:pStyle w:val="Prrafodelista"/>
        <w:rPr>
          <w:rFonts w:ascii="Tahoma" w:hAnsi="Tahoma" w:cs="Tahoma"/>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Prrafodelista"/>
        <w:ind w:left="567"/>
        <w:rPr>
          <w:rFonts w:ascii="Tahoma" w:hAnsi="Tahoma" w:cs="Tahoma"/>
          <w:lang w:val="es-MX"/>
        </w:rPr>
      </w:pPr>
    </w:p>
    <w:p w:rsidR="007E6B15" w:rsidRPr="007E6B15" w:rsidRDefault="007E6B15" w:rsidP="007E6B15">
      <w:pPr>
        <w:pStyle w:val="Textoindependiente"/>
        <w:widowControl w:val="0"/>
        <w:suppressAutoHyphens/>
        <w:ind w:left="567"/>
        <w:rPr>
          <w:rFonts w:ascii="Tahoma" w:hAnsi="Tahoma" w:cs="Tahoma"/>
          <w:sz w:val="20"/>
          <w:szCs w:val="20"/>
        </w:rPr>
      </w:pPr>
    </w:p>
    <w:p w:rsidR="00595709" w:rsidRDefault="007E6B15" w:rsidP="00595709">
      <w:pPr>
        <w:pStyle w:val="Textoindependiente"/>
        <w:widowControl w:val="0"/>
        <w:numPr>
          <w:ilvl w:val="0"/>
          <w:numId w:val="4"/>
        </w:numPr>
        <w:suppressAutoHyphens/>
        <w:spacing w:after="0"/>
        <w:ind w:left="567" w:hanging="567"/>
        <w:jc w:val="both"/>
        <w:rPr>
          <w:rFonts w:ascii="Tahoma" w:hAnsi="Tahoma" w:cs="Tahoma"/>
          <w:i/>
          <w:sz w:val="20"/>
          <w:szCs w:val="20"/>
        </w:rPr>
      </w:pPr>
      <w:r w:rsidRPr="007E6B15">
        <w:rPr>
          <w:rFonts w:ascii="Tahoma" w:hAnsi="Tahoma" w:cs="Tahoma"/>
          <w:sz w:val="20"/>
          <w:szCs w:val="20"/>
        </w:rPr>
        <w:lastRenderedPageBreak/>
        <w:t xml:space="preserve">Véase, entonces, que a través de la referida comunicación de fecha 26 de marzo de 2010, el Contratista comunicó a la Entidad, que luego de haber realizado los trámites respectivos de saneamiento físico legal de los mencionados terrenos se procedía a su inscripción ante los Registros Públicos, ello también fue señalado por éste, con ocasión a la presentación de sus descargos, en el cual manifestó que </w:t>
      </w:r>
      <w:r w:rsidRPr="007E6B15">
        <w:rPr>
          <w:rFonts w:ascii="Tahoma" w:hAnsi="Tahoma" w:cs="Tahoma"/>
          <w:i/>
          <w:sz w:val="20"/>
          <w:szCs w:val="20"/>
        </w:rPr>
        <w:t xml:space="preserve">“el trabajo se había concluido y que la tramitación de la inscripción dependía de los plazos de la Entidad Registral” (sic). </w:t>
      </w:r>
    </w:p>
    <w:p w:rsidR="00595709" w:rsidRDefault="00595709" w:rsidP="00595709">
      <w:pPr>
        <w:pStyle w:val="Textoindependiente"/>
        <w:widowControl w:val="0"/>
        <w:suppressAutoHyphens/>
        <w:spacing w:after="0"/>
        <w:ind w:left="567"/>
        <w:jc w:val="both"/>
        <w:rPr>
          <w:rFonts w:ascii="Tahoma" w:hAnsi="Tahoma" w:cs="Tahoma"/>
          <w:i/>
          <w:sz w:val="20"/>
          <w:szCs w:val="20"/>
        </w:rPr>
      </w:pPr>
    </w:p>
    <w:p w:rsidR="00595709" w:rsidRDefault="007E6B15" w:rsidP="00595709">
      <w:pPr>
        <w:pStyle w:val="Textoindependiente"/>
        <w:widowControl w:val="0"/>
        <w:numPr>
          <w:ilvl w:val="0"/>
          <w:numId w:val="4"/>
        </w:numPr>
        <w:suppressAutoHyphens/>
        <w:spacing w:after="0"/>
        <w:ind w:left="567" w:hanging="567"/>
        <w:jc w:val="both"/>
        <w:rPr>
          <w:rFonts w:ascii="Tahoma" w:hAnsi="Tahoma" w:cs="Tahoma"/>
          <w:i/>
          <w:sz w:val="20"/>
          <w:szCs w:val="20"/>
        </w:rPr>
      </w:pPr>
      <w:r w:rsidRPr="00595709">
        <w:rPr>
          <w:rFonts w:ascii="Tahoma" w:hAnsi="Tahoma" w:cs="Tahoma"/>
          <w:sz w:val="20"/>
          <w:szCs w:val="20"/>
        </w:rPr>
        <w:t xml:space="preserve">No obstante ello, </w:t>
      </w:r>
      <w:r w:rsidRPr="00595709">
        <w:rPr>
          <w:rFonts w:ascii="Tahoma" w:hAnsi="Tahoma" w:cs="Tahoma"/>
          <w:sz w:val="20"/>
          <w:szCs w:val="20"/>
          <w:lang w:val="es-MX"/>
        </w:rPr>
        <w:t>a pesar de haberse comprometido con presentar</w:t>
      </w:r>
      <w:r w:rsidRPr="00595709">
        <w:rPr>
          <w:rFonts w:ascii="Tahoma" w:hAnsi="Tahoma" w:cs="Tahoma"/>
          <w:bCs/>
          <w:sz w:val="20"/>
          <w:szCs w:val="20"/>
        </w:rPr>
        <w:t xml:space="preserve"> los expedientes legales ante la SUNARP para la inscripción definitiva de los terrenos ubicados en los distritos de San Martin de Pangoa y Pichanaki, el Contratista </w:t>
      </w:r>
      <w:r w:rsidRPr="00595709">
        <w:rPr>
          <w:rFonts w:ascii="Tahoma" w:hAnsi="Tahoma" w:cs="Tahoma"/>
          <w:sz w:val="20"/>
          <w:szCs w:val="20"/>
          <w:lang w:val="es-MX"/>
        </w:rPr>
        <w:t xml:space="preserve">no cumplió con presentar –ante los Registros Públicos– los expedientes legales a fin de inscribir </w:t>
      </w:r>
      <w:r w:rsidRPr="00595709">
        <w:rPr>
          <w:rFonts w:ascii="Tahoma" w:hAnsi="Tahoma" w:cs="Tahoma"/>
          <w:sz w:val="20"/>
          <w:szCs w:val="20"/>
        </w:rPr>
        <w:t xml:space="preserve">los referidos terrenos, </w:t>
      </w:r>
      <w:r w:rsidRPr="00595709">
        <w:rPr>
          <w:rFonts w:ascii="Tahoma" w:hAnsi="Tahoma" w:cs="Tahoma"/>
          <w:sz w:val="20"/>
          <w:szCs w:val="20"/>
          <w:lang w:val="es-MX"/>
        </w:rPr>
        <w:t>toda vez que no obra en autos, documento alguno que éste haya presentado ante dicha institución registral</w:t>
      </w:r>
      <w:r w:rsidRPr="00595709">
        <w:rPr>
          <w:rFonts w:ascii="Tahoma" w:hAnsi="Tahoma" w:cs="Tahoma"/>
          <w:sz w:val="20"/>
          <w:szCs w:val="20"/>
        </w:rPr>
        <w:t xml:space="preserve">, hecho fáctico que corroboraría que el Contratista de manera oportuna cumplió con sus obligaciones contractuales, </w:t>
      </w:r>
      <w:r w:rsidRPr="00595709">
        <w:rPr>
          <w:rFonts w:ascii="Tahoma" w:hAnsi="Tahoma" w:cs="Tahoma"/>
          <w:sz w:val="20"/>
          <w:szCs w:val="20"/>
          <w:lang w:val="es-MX"/>
        </w:rPr>
        <w:t xml:space="preserve">conforme lo establecían </w:t>
      </w:r>
      <w:r w:rsidRPr="00595709">
        <w:rPr>
          <w:rFonts w:ascii="Tahoma" w:hAnsi="Tahoma" w:cs="Tahoma"/>
          <w:sz w:val="20"/>
          <w:szCs w:val="20"/>
        </w:rPr>
        <w:t xml:space="preserve">las Bases Administrativas, la oferta ganadora y los documentos derivados del proceso de selección que establecían las obligaciones para las partes, toda vez que dicho cumplimiento acreditaría que el Contratista realizó las prestaciones que tenía a su cargo de acuerdo al </w:t>
      </w:r>
      <w:r w:rsidRPr="00595709">
        <w:rPr>
          <w:rFonts w:ascii="Tahoma" w:hAnsi="Tahoma" w:cs="Tahoma"/>
          <w:sz w:val="20"/>
          <w:szCs w:val="20"/>
          <w:lang w:val="es-MX"/>
        </w:rPr>
        <w:t>numeral 3.3.4 de los términos de referencia de las citadas Bases en concordancia con la Cláusula Octava del Contrato № 035-2009-P-CSJJU/PJ.</w:t>
      </w:r>
    </w:p>
    <w:p w:rsidR="00595709" w:rsidRDefault="00595709" w:rsidP="00595709">
      <w:pPr>
        <w:pStyle w:val="Prrafodelista"/>
        <w:rPr>
          <w:rFonts w:ascii="Tahoma" w:hAnsi="Tahoma" w:cs="Tahoma"/>
        </w:rPr>
      </w:pPr>
    </w:p>
    <w:p w:rsidR="007E6B15" w:rsidRPr="00595709" w:rsidRDefault="007E6B15" w:rsidP="00595709">
      <w:pPr>
        <w:pStyle w:val="Textoindependiente"/>
        <w:widowControl w:val="0"/>
        <w:numPr>
          <w:ilvl w:val="0"/>
          <w:numId w:val="4"/>
        </w:numPr>
        <w:suppressAutoHyphens/>
        <w:spacing w:after="0"/>
        <w:ind w:left="567" w:hanging="567"/>
        <w:jc w:val="both"/>
        <w:rPr>
          <w:rFonts w:ascii="Tahoma" w:hAnsi="Tahoma" w:cs="Tahoma"/>
          <w:i/>
          <w:sz w:val="20"/>
          <w:szCs w:val="20"/>
        </w:rPr>
      </w:pPr>
      <w:r w:rsidRPr="00595709">
        <w:rPr>
          <w:rFonts w:ascii="Tahoma" w:hAnsi="Tahoma" w:cs="Tahoma"/>
          <w:sz w:val="20"/>
          <w:szCs w:val="20"/>
        </w:rPr>
        <w:t>En ese sentido, si bien el Contratista elaboró los expedientes técnicos (planos y memorias descriptivas) de los terrenos en cuestión, ello de modo alguno supone que la Entidad le debió otorgar la conformidad de la prestación, toda vez que, por un lado, la normativa de la materia ha previsto un procedimiento especifico a fin de que la Entidad una vez evaluado el cumplimento de las condiciones contractuales, otorgue la respectiva conformidad; y por el otro, según se observa el Contratista no cumplió con condiciones previstas en el Contrato № 035-2009-P-CSJJU/PJ, situación fáctica que contraviene el artículo 49 de la Ley y 142 del Reglamento, disposiciones legales que han prescrito que el contrato constituye la fuente de obligación de las partes contratantes, la cual está constituida en el mandato legal, reglamentario, las Bases Integradas y la oferta ganadora, por lo que debe ser atendido tanto por el Contratista como por la Entidad, debido a que su formalización constituye una declaración de voluntad y al estar debidamente perfeccionado, tiene fuerza de Ley.</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 xml:space="preserve">En ese orden de ideas, </w:t>
      </w:r>
      <w:r w:rsidRPr="007E6B15">
        <w:rPr>
          <w:rFonts w:ascii="Tahoma" w:hAnsi="Tahoma" w:cs="Tahoma"/>
          <w:sz w:val="20"/>
          <w:szCs w:val="20"/>
          <w:lang w:val="es-MX"/>
        </w:rPr>
        <w:t xml:space="preserve">queda claro que la Entidad requirió al Contratista el cumplimiento de sus obligaciones contractuales (24 de marzo de 2010), los cuales debieron ser cumplidas en óptimas condiciones y conforme a las términos de referencia descritos en las Bases. Pese a ello, ha quedado acreditado en el presente caso que, al </w:t>
      </w:r>
      <w:r w:rsidRPr="007E6B15">
        <w:rPr>
          <w:rFonts w:ascii="Tahoma" w:hAnsi="Tahoma" w:cs="Tahoma"/>
          <w:sz w:val="20"/>
          <w:szCs w:val="20"/>
        </w:rPr>
        <w:t>29 de marzo de 2010</w:t>
      </w:r>
      <w:r w:rsidRPr="007E6B15">
        <w:rPr>
          <w:rFonts w:ascii="Tahoma" w:hAnsi="Tahoma" w:cs="Tahoma"/>
          <w:sz w:val="20"/>
          <w:szCs w:val="20"/>
          <w:lang w:val="es-MX"/>
        </w:rPr>
        <w:t xml:space="preserve">, fecha límite para el cumplimiento de sus obligaciones, el Contratista no cumplió con las prestaciones que tenía a su cargo, en lo que respecta a la inscripción de los terrenos ubicados en los distritos de </w:t>
      </w:r>
      <w:r w:rsidRPr="007E6B15">
        <w:rPr>
          <w:rFonts w:ascii="Tahoma" w:hAnsi="Tahoma" w:cs="Tahoma"/>
          <w:bCs/>
          <w:sz w:val="20"/>
          <w:szCs w:val="20"/>
        </w:rPr>
        <w:t xml:space="preserve">San Martin de Pangoa y Pichanaki. </w:t>
      </w:r>
      <w:r w:rsidRPr="007E6B15">
        <w:rPr>
          <w:rFonts w:ascii="Tahoma" w:hAnsi="Tahoma" w:cs="Tahoma"/>
          <w:sz w:val="20"/>
          <w:szCs w:val="20"/>
          <w:lang w:val="es-MX"/>
        </w:rPr>
        <w:t>Tal situación fáctica se infiere de lo informado por la Entidad, así como de las comunicaciones cursadas al Contratista y de las instrumentales que obran el presente expediente administrativo.</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 xml:space="preserve">Así, pues, de acuerdo con lo establecido en el artículo 1314 del Código Civil, quien actúa con la diligencia ordinaria, no es imputable por la inejecución de la obligación o por su cumplimiento, parcial, tardío o defectuoso. </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A mayor abundamiento, respecto del incumplimiento de obligaciones, existe la presunción legal establecida en el artículo 1329 del Código Civil, según el cual aquél es producto de la falta de diligencia del deudor</w:t>
      </w:r>
      <w:r w:rsidRPr="007E6B15">
        <w:rPr>
          <w:rStyle w:val="Refdenotaalpie"/>
          <w:rFonts w:ascii="Tahoma" w:hAnsi="Tahoma" w:cs="Tahoma"/>
          <w:sz w:val="20"/>
          <w:szCs w:val="20"/>
        </w:rPr>
        <w:footnoteReference w:id="11"/>
      </w:r>
      <w:r w:rsidRPr="007E6B15">
        <w:rPr>
          <w:rFonts w:ascii="Tahoma" w:hAnsi="Tahoma" w:cs="Tahoma"/>
          <w:sz w:val="20"/>
          <w:szCs w:val="20"/>
        </w:rPr>
        <w:t>, lo que implica que es su deber demostrar lo contrario y acreditar que, no obstante haber actuado con la diligencia ordinaria exigida por la naturaleza de la prestación, le fue imposible cumplirla.</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Por consiguiente, considerando que el Contratista no ha aportado prueba alguna ni ha acreditado durante la tramitación del presente procedimiento administrativo sancionador que el incumplimiento del Contrato № 035-2009-P-CSJJU/PJ se haya generado por causas ajenas a su voluntad, ni que haya actuado con la diligencia ordinaria debida, este Tribunal concluye que la resolución parcial del citado contrato le resulta imputable.</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Por las consideraciones expuestas, y no habiéndose probado la existencia de causa justificante para el incumplimiento de las obligaciones del Contratista, este Colegiado determina que en el presente caso se ha configurado la causal tipificada en el literal b) del numeral 51.1 del artículo 51 de la Ley en concordancia con el literal b) del numeral 1) del artículo 237 del Reglamento, la cual se encuentra sancionada con inhabilitación temporal para ser postor y contratar con el Estado por un período no menor de uno (1) ni mayor de tres (3) años.</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A efecto de graduar la sanción administrativa a imponerse, debe considerarse los criterios establecidos en el artículo 245 del Reglamento</w:t>
      </w:r>
      <w:r w:rsidRPr="007E6B15">
        <w:rPr>
          <w:rStyle w:val="Refdenotaalpie"/>
          <w:rFonts w:ascii="Tahoma" w:hAnsi="Tahoma" w:cs="Tahoma"/>
          <w:sz w:val="20"/>
          <w:szCs w:val="20"/>
        </w:rPr>
        <w:footnoteReference w:id="12"/>
      </w:r>
      <w:r w:rsidRPr="007E6B15">
        <w:rPr>
          <w:rFonts w:ascii="Tahoma" w:hAnsi="Tahoma" w:cs="Tahoma"/>
          <w:sz w:val="20"/>
          <w:szCs w:val="20"/>
        </w:rPr>
        <w:t>.</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En ese sentido, en relación con la naturaleza de la infracción cometida, es importante señalar que la conducta efectuada por el Contratista reviste de una considerable gravedad en la medida que desde el momento en que se asumió un compromiso contractual frente a la Entidad, se encontraba llamada a cumplir cabalmente con lo ofrecido, máxime si es conocido que ante un eventual incumplimiento se verían seriamente afectados intereses de carácter público así como ha retrasado el cumplimiento de las metas institucionales de la Entidad.</w:t>
      </w:r>
    </w:p>
    <w:p w:rsidR="007E6B15" w:rsidRPr="007E6B15" w:rsidRDefault="007E6B15" w:rsidP="007E6B15">
      <w:pPr>
        <w:pStyle w:val="Prrafodelista"/>
        <w:rPr>
          <w:rFonts w:ascii="Tahoma" w:hAnsi="Tahoma" w:cs="Tahoma"/>
        </w:rPr>
      </w:pPr>
    </w:p>
    <w:p w:rsidR="00595709" w:rsidRDefault="007E6B15" w:rsidP="00595709">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 xml:space="preserve">En igual sentido, en cuanto al criterio de intencionalidad del infractor, este Colegiado considera que en tanto, la conducta llevada a cabo por parte del Contratista consistente en </w:t>
      </w:r>
      <w:r w:rsidRPr="007E6B15">
        <w:rPr>
          <w:rFonts w:ascii="Tahoma" w:hAnsi="Tahoma" w:cs="Tahoma"/>
          <w:sz w:val="20"/>
          <w:szCs w:val="20"/>
        </w:rPr>
        <w:lastRenderedPageBreak/>
        <w:t>la resolución del contrato, no permite a este Colegiado determinar la existencia de intencionalidad de su parte en la medida que no se ha evidenciado la consecución de un fin ulterior; no obstante lo cual, si resulta clara una falta de diligencia por parte de dicho Contratista, toda vez que ésta debió cumplir con sus obligaciones pactadas la citado contrato.</w:t>
      </w:r>
    </w:p>
    <w:p w:rsidR="00595709" w:rsidRDefault="00595709" w:rsidP="00595709">
      <w:pPr>
        <w:pStyle w:val="Prrafodelista"/>
        <w:rPr>
          <w:rFonts w:ascii="Tahoma" w:hAnsi="Tahoma" w:cs="Tahoma"/>
        </w:rPr>
      </w:pPr>
    </w:p>
    <w:p w:rsidR="007E6B15" w:rsidRPr="00595709" w:rsidRDefault="007E6B15" w:rsidP="00595709">
      <w:pPr>
        <w:pStyle w:val="Textoindependiente"/>
        <w:widowControl w:val="0"/>
        <w:numPr>
          <w:ilvl w:val="0"/>
          <w:numId w:val="4"/>
        </w:numPr>
        <w:suppressAutoHyphens/>
        <w:spacing w:after="0"/>
        <w:ind w:left="567" w:hanging="567"/>
        <w:jc w:val="both"/>
        <w:rPr>
          <w:rFonts w:ascii="Tahoma" w:hAnsi="Tahoma" w:cs="Tahoma"/>
          <w:sz w:val="20"/>
          <w:szCs w:val="20"/>
        </w:rPr>
      </w:pPr>
      <w:r w:rsidRPr="00595709">
        <w:rPr>
          <w:rFonts w:ascii="Tahoma" w:hAnsi="Tahoma" w:cs="Tahoma"/>
          <w:sz w:val="20"/>
          <w:szCs w:val="20"/>
        </w:rPr>
        <w:t>De esta manera, en lo que atañe al daño causado, es relevante tomar en cuenta, por un lado, la cuantía que subyace al Contrato № 035-2009-P-CSJJU/PJ, por el monto de S/. 14 000.00 nuevos soles y, por el otro, que su incumplimiento por parte del Contratista generó un daño a la Entidad, causando el retraso en el cumplimiento de sus objetivos, el cual había sido programado y presupuestado con anticipación. No obstante ello, este Colegiado ha valorado que el Contratista cumplió de manera parcial la prestación objeto del citado contrato.</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Sin perjuicio de lo anterior, respecto de las condiciones del infractor y de su conducta procesal durante la sustanciación del presente procedimiento administrativo sancionador, abona a favor del infractor la ausencia de antecedentes en la comisión de infracciones, así como que durante la sustanciación del presente procedimiento administrativo sancionador el Contratista ha efectuado la presentación de sus descargos.</w:t>
      </w:r>
    </w:p>
    <w:p w:rsidR="007E6B15" w:rsidRPr="007E6B15" w:rsidRDefault="007E6B15" w:rsidP="007E6B15">
      <w:pPr>
        <w:pStyle w:val="Prrafodelista"/>
        <w:rPr>
          <w:rFonts w:ascii="Tahoma" w:hAnsi="Tahoma" w:cs="Tahoma"/>
        </w:rPr>
      </w:pPr>
    </w:p>
    <w:p w:rsidR="007E6B15" w:rsidRPr="007E6B15" w:rsidRDefault="007E6B15" w:rsidP="007E6B15">
      <w:pPr>
        <w:pStyle w:val="Textoindependiente"/>
        <w:widowControl w:val="0"/>
        <w:numPr>
          <w:ilvl w:val="0"/>
          <w:numId w:val="4"/>
        </w:numPr>
        <w:suppressAutoHyphens/>
        <w:spacing w:after="0"/>
        <w:ind w:left="567" w:hanging="567"/>
        <w:jc w:val="both"/>
        <w:rPr>
          <w:rFonts w:ascii="Tahoma" w:hAnsi="Tahoma" w:cs="Tahoma"/>
          <w:sz w:val="20"/>
          <w:szCs w:val="20"/>
        </w:rPr>
      </w:pPr>
      <w:r w:rsidRPr="007E6B15">
        <w:rPr>
          <w:rFonts w:ascii="Tahoma" w:hAnsi="Tahoma" w:cs="Tahoma"/>
          <w:sz w:val="20"/>
          <w:szCs w:val="20"/>
        </w:rPr>
        <w:t xml:space="preserve">Finalmente, resulta importante traer a colación el </w:t>
      </w:r>
      <w:r w:rsidRPr="007E6B15">
        <w:rPr>
          <w:rFonts w:ascii="Tahoma" w:hAnsi="Tahoma" w:cs="Tahoma"/>
          <w:i/>
          <w:sz w:val="20"/>
          <w:szCs w:val="20"/>
        </w:rPr>
        <w:t>principio de razonabilidad</w:t>
      </w:r>
      <w:r w:rsidRPr="007E6B15">
        <w:rPr>
          <w:rFonts w:ascii="Tahoma" w:hAnsi="Tahoma" w:cs="Tahoma"/>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1776B6" w:rsidRPr="007E6B15" w:rsidRDefault="001776B6" w:rsidP="001776B6">
      <w:pPr>
        <w:pStyle w:val="Prrafodelista"/>
        <w:jc w:val="both"/>
        <w:rPr>
          <w:rFonts w:ascii="Tahoma" w:hAnsi="Tahoma" w:cs="Tahoma"/>
        </w:rPr>
      </w:pPr>
    </w:p>
    <w:p w:rsidR="00DA127C" w:rsidRPr="007E6B15" w:rsidRDefault="00DA127C" w:rsidP="00DA127C">
      <w:pPr>
        <w:ind w:left="567" w:firstLine="567"/>
        <w:jc w:val="both"/>
        <w:rPr>
          <w:rFonts w:ascii="Tahoma" w:hAnsi="Tahoma" w:cs="Tahoma"/>
          <w:sz w:val="20"/>
          <w:szCs w:val="20"/>
        </w:rPr>
      </w:pPr>
      <w:r w:rsidRPr="007E6B15">
        <w:rPr>
          <w:rFonts w:ascii="Tahoma" w:hAnsi="Tahoma" w:cs="Tahoma"/>
          <w:color w:val="000000"/>
          <w:sz w:val="20"/>
          <w:szCs w:val="20"/>
        </w:rPr>
        <w:t xml:space="preserve">Por estos fundamentos, de conformidad con el informe del Vocal Ponente </w:t>
      </w:r>
      <w:r w:rsidRPr="007E6B15">
        <w:rPr>
          <w:rFonts w:ascii="Tahoma" w:hAnsi="Tahoma" w:cs="Tahoma"/>
          <w:sz w:val="20"/>
          <w:szCs w:val="20"/>
        </w:rPr>
        <w:t>Doctor Carlos Vicente Navas Rondón</w:t>
      </w:r>
      <w:r w:rsidRPr="007E6B15">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7E6B15" w:rsidRDefault="00E13E6B" w:rsidP="00E13E6B">
      <w:pPr>
        <w:jc w:val="both"/>
        <w:rPr>
          <w:rFonts w:ascii="Tahoma" w:hAnsi="Tahoma" w:cs="Tahoma"/>
          <w:sz w:val="20"/>
          <w:szCs w:val="20"/>
        </w:rPr>
      </w:pPr>
    </w:p>
    <w:p w:rsidR="00DD1154" w:rsidRPr="007E6B15" w:rsidRDefault="00DD1154" w:rsidP="00E13E6B">
      <w:pPr>
        <w:jc w:val="both"/>
        <w:rPr>
          <w:rFonts w:ascii="Tahoma" w:hAnsi="Tahoma" w:cs="Tahoma"/>
          <w:sz w:val="20"/>
          <w:szCs w:val="20"/>
        </w:rPr>
      </w:pPr>
    </w:p>
    <w:p w:rsidR="00E13E6B" w:rsidRPr="007E6B15" w:rsidRDefault="00E13E6B" w:rsidP="00E13E6B">
      <w:pPr>
        <w:ind w:firstLine="567"/>
        <w:jc w:val="both"/>
        <w:rPr>
          <w:rFonts w:ascii="Tahoma" w:hAnsi="Tahoma" w:cs="Tahoma"/>
          <w:b/>
          <w:sz w:val="20"/>
          <w:szCs w:val="20"/>
        </w:rPr>
      </w:pPr>
      <w:r w:rsidRPr="007E6B15">
        <w:rPr>
          <w:rFonts w:ascii="Tahoma" w:hAnsi="Tahoma" w:cs="Tahoma"/>
          <w:b/>
          <w:sz w:val="20"/>
          <w:szCs w:val="20"/>
        </w:rPr>
        <w:t xml:space="preserve">LA SALA RESUELVE: </w:t>
      </w:r>
    </w:p>
    <w:p w:rsidR="00E13E6B" w:rsidRPr="007E6B15" w:rsidRDefault="00E13E6B" w:rsidP="00E13E6B">
      <w:pPr>
        <w:ind w:left="400"/>
        <w:jc w:val="both"/>
        <w:rPr>
          <w:rFonts w:ascii="Tahoma" w:hAnsi="Tahoma" w:cs="Tahoma"/>
          <w:snapToGrid w:val="0"/>
          <w:sz w:val="20"/>
          <w:szCs w:val="20"/>
        </w:rPr>
      </w:pPr>
    </w:p>
    <w:p w:rsidR="007E6B15" w:rsidRPr="007E6B15" w:rsidRDefault="007E6B15" w:rsidP="007E6B15">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7E6B15">
        <w:rPr>
          <w:rFonts w:ascii="Tahoma" w:hAnsi="Tahoma" w:cs="Tahoma"/>
          <w:sz w:val="20"/>
          <w:szCs w:val="20"/>
        </w:rPr>
        <w:t xml:space="preserve">Imponer al señor CARLOS ENRIQUE FABIAN CHALE sanción administrativa de inhabilitación temporal por el período de doce (12) meses en sus derechos de participar en procesos de selección y contratar con el Estado, por la comisión de la infracción tipificada en el literal b) del numeral 51.1 del artículo 51 de la Ley en concordancia con el literal b) </w:t>
      </w:r>
      <w:r w:rsidRPr="007E6B15">
        <w:rPr>
          <w:rFonts w:ascii="Tahoma" w:hAnsi="Tahoma" w:cs="Tahoma"/>
          <w:sz w:val="20"/>
          <w:szCs w:val="20"/>
        </w:rPr>
        <w:lastRenderedPageBreak/>
        <w:t>del numeral 1) del artículo 237 del Reglamento, la cual entrará en vigencia a partir del sexto día hábil siguiente de su notificación</w:t>
      </w:r>
    </w:p>
    <w:p w:rsidR="007E6B15" w:rsidRPr="007E6B15" w:rsidRDefault="007E6B15" w:rsidP="007E6B15">
      <w:pPr>
        <w:pStyle w:val="Textoindependiente2"/>
        <w:spacing w:after="0" w:line="240" w:lineRule="auto"/>
        <w:ind w:left="540"/>
        <w:jc w:val="both"/>
        <w:rPr>
          <w:rFonts w:ascii="Tahoma" w:hAnsi="Tahoma" w:cs="Tahoma"/>
          <w:sz w:val="20"/>
          <w:szCs w:val="20"/>
        </w:rPr>
      </w:pPr>
    </w:p>
    <w:p w:rsidR="007E6B15" w:rsidRPr="007E6B15" w:rsidRDefault="007E6B15" w:rsidP="007E6B15">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7E6B15">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E13E6B" w:rsidRPr="007E6B15" w:rsidRDefault="00E13E6B" w:rsidP="00E13E6B">
      <w:pPr>
        <w:pStyle w:val="Prrafodelista"/>
        <w:jc w:val="both"/>
        <w:rPr>
          <w:rFonts w:ascii="Tahoma" w:hAnsi="Tahoma" w:cs="Tahoma"/>
        </w:rPr>
      </w:pPr>
    </w:p>
    <w:p w:rsidR="00E13E6B" w:rsidRPr="007E6B15" w:rsidRDefault="00E13E6B" w:rsidP="00E13E6B">
      <w:pPr>
        <w:pStyle w:val="Textoindependiente21"/>
        <w:ind w:firstLine="360"/>
        <w:rPr>
          <w:rFonts w:cs="Tahoma"/>
          <w:sz w:val="20"/>
        </w:rPr>
      </w:pPr>
      <w:r w:rsidRPr="007E6B15">
        <w:rPr>
          <w:rFonts w:cs="Tahoma"/>
          <w:sz w:val="20"/>
        </w:rPr>
        <w:t>Regístrese, comuníquese y publíquese.</w:t>
      </w:r>
    </w:p>
    <w:p w:rsidR="00E13E6B" w:rsidRPr="007E6B15" w:rsidRDefault="00E13E6B" w:rsidP="00E13E6B">
      <w:pPr>
        <w:jc w:val="both"/>
        <w:rPr>
          <w:rFonts w:ascii="Tahoma" w:hAnsi="Tahoma" w:cs="Tahoma"/>
          <w:b/>
          <w:bCs/>
          <w:shadow/>
          <w:sz w:val="20"/>
          <w:szCs w:val="20"/>
        </w:rPr>
      </w:pPr>
    </w:p>
    <w:p w:rsidR="00A52C81" w:rsidRPr="007E6B15" w:rsidRDefault="00A52C81" w:rsidP="00E13E6B">
      <w:pPr>
        <w:jc w:val="both"/>
        <w:rPr>
          <w:rFonts w:ascii="Tahoma" w:hAnsi="Tahoma" w:cs="Tahoma"/>
          <w:b/>
          <w:bCs/>
          <w:shadow/>
          <w:sz w:val="20"/>
          <w:szCs w:val="20"/>
        </w:rPr>
      </w:pPr>
    </w:p>
    <w:p w:rsidR="006E5BF8" w:rsidRPr="007E6B15" w:rsidRDefault="006E5BF8" w:rsidP="00E13E6B">
      <w:pPr>
        <w:jc w:val="both"/>
        <w:rPr>
          <w:rFonts w:ascii="Tahoma" w:hAnsi="Tahoma" w:cs="Tahoma"/>
          <w:b/>
          <w:bCs/>
          <w:shadow/>
          <w:sz w:val="20"/>
          <w:szCs w:val="20"/>
        </w:rPr>
      </w:pPr>
    </w:p>
    <w:p w:rsidR="00DA127C" w:rsidRPr="007E6B15" w:rsidRDefault="00DA127C" w:rsidP="00E13E6B">
      <w:pPr>
        <w:jc w:val="both"/>
        <w:rPr>
          <w:rFonts w:ascii="Tahoma" w:hAnsi="Tahoma" w:cs="Tahoma"/>
          <w:b/>
          <w:bCs/>
          <w:shadow/>
          <w:sz w:val="20"/>
          <w:szCs w:val="20"/>
        </w:rPr>
      </w:pPr>
    </w:p>
    <w:p w:rsidR="00DA127C" w:rsidRPr="007E6B15" w:rsidRDefault="00DA127C" w:rsidP="00E13E6B">
      <w:pPr>
        <w:jc w:val="both"/>
        <w:rPr>
          <w:rFonts w:ascii="Tahoma" w:hAnsi="Tahoma" w:cs="Tahoma"/>
          <w:b/>
          <w:bCs/>
          <w:shadow/>
          <w:sz w:val="20"/>
          <w:szCs w:val="20"/>
        </w:rPr>
      </w:pPr>
    </w:p>
    <w:p w:rsidR="00DA127C" w:rsidRPr="007E6B15" w:rsidRDefault="00DA127C" w:rsidP="00E13E6B">
      <w:pPr>
        <w:jc w:val="both"/>
        <w:rPr>
          <w:rFonts w:ascii="Tahoma" w:hAnsi="Tahoma" w:cs="Tahoma"/>
          <w:b/>
          <w:bCs/>
          <w:shadow/>
          <w:sz w:val="20"/>
          <w:szCs w:val="20"/>
        </w:rPr>
      </w:pPr>
    </w:p>
    <w:p w:rsidR="00EC4953" w:rsidRPr="007E6B15" w:rsidRDefault="00EC4953" w:rsidP="00E13E6B">
      <w:pPr>
        <w:jc w:val="both"/>
        <w:rPr>
          <w:rFonts w:ascii="Tahoma" w:hAnsi="Tahoma" w:cs="Tahoma"/>
          <w:b/>
          <w:bCs/>
          <w:shadow/>
          <w:sz w:val="20"/>
          <w:szCs w:val="20"/>
        </w:rPr>
      </w:pPr>
    </w:p>
    <w:p w:rsidR="00E13E6B" w:rsidRPr="007E6B15" w:rsidRDefault="00E13E6B" w:rsidP="00295C50">
      <w:pPr>
        <w:jc w:val="center"/>
        <w:rPr>
          <w:rFonts w:ascii="Tahoma" w:hAnsi="Tahoma" w:cs="Tahoma"/>
          <w:b/>
          <w:bCs/>
          <w:shadow/>
          <w:sz w:val="20"/>
          <w:szCs w:val="20"/>
        </w:rPr>
      </w:pPr>
      <w:r w:rsidRPr="007E6B15">
        <w:rPr>
          <w:rFonts w:ascii="Tahoma" w:hAnsi="Tahoma" w:cs="Tahoma"/>
          <w:b/>
          <w:bCs/>
          <w:shadow/>
          <w:sz w:val="20"/>
          <w:szCs w:val="20"/>
        </w:rPr>
        <w:t>PRESIDENTE</w:t>
      </w:r>
    </w:p>
    <w:p w:rsidR="00E13E6B" w:rsidRPr="007E6B15" w:rsidRDefault="00E13E6B" w:rsidP="00C5251B">
      <w:pPr>
        <w:jc w:val="center"/>
        <w:rPr>
          <w:rFonts w:ascii="Tahoma" w:hAnsi="Tahoma" w:cs="Tahoma"/>
          <w:b/>
          <w:bCs/>
          <w:shadow/>
          <w:sz w:val="20"/>
          <w:szCs w:val="20"/>
        </w:rPr>
      </w:pPr>
    </w:p>
    <w:p w:rsidR="00E13E6B" w:rsidRPr="007E6B15" w:rsidRDefault="00E13E6B" w:rsidP="00C5251B">
      <w:pPr>
        <w:jc w:val="center"/>
        <w:rPr>
          <w:rFonts w:ascii="Tahoma" w:hAnsi="Tahoma" w:cs="Tahoma"/>
          <w:b/>
          <w:bCs/>
          <w:shadow/>
          <w:sz w:val="20"/>
          <w:szCs w:val="20"/>
        </w:rPr>
      </w:pPr>
    </w:p>
    <w:p w:rsidR="00DA127C" w:rsidRPr="007E6B15" w:rsidRDefault="00DA127C" w:rsidP="00C5251B">
      <w:pPr>
        <w:jc w:val="center"/>
        <w:rPr>
          <w:rFonts w:ascii="Tahoma" w:hAnsi="Tahoma" w:cs="Tahoma"/>
          <w:b/>
          <w:bCs/>
          <w:shadow/>
          <w:sz w:val="20"/>
          <w:szCs w:val="20"/>
        </w:rPr>
      </w:pPr>
    </w:p>
    <w:p w:rsidR="00DA127C" w:rsidRPr="007E6B15" w:rsidRDefault="00DA127C" w:rsidP="00C5251B">
      <w:pPr>
        <w:jc w:val="center"/>
        <w:rPr>
          <w:rFonts w:ascii="Tahoma" w:hAnsi="Tahoma" w:cs="Tahoma"/>
          <w:b/>
          <w:bCs/>
          <w:shadow/>
          <w:sz w:val="20"/>
          <w:szCs w:val="20"/>
        </w:rPr>
      </w:pPr>
    </w:p>
    <w:p w:rsidR="00E13E6B" w:rsidRPr="007E6B15" w:rsidRDefault="00E13E6B" w:rsidP="00C5251B">
      <w:pPr>
        <w:jc w:val="center"/>
        <w:rPr>
          <w:rFonts w:ascii="Tahoma" w:hAnsi="Tahoma" w:cs="Tahoma"/>
          <w:b/>
          <w:bCs/>
          <w:shadow/>
          <w:sz w:val="20"/>
          <w:szCs w:val="20"/>
        </w:rPr>
      </w:pPr>
    </w:p>
    <w:p w:rsidR="00E13E6B" w:rsidRPr="007E6B15" w:rsidRDefault="00E13E6B" w:rsidP="00C5251B">
      <w:pPr>
        <w:jc w:val="center"/>
        <w:rPr>
          <w:rFonts w:ascii="Tahoma" w:hAnsi="Tahoma" w:cs="Tahoma"/>
          <w:b/>
          <w:shadow/>
          <w:sz w:val="20"/>
          <w:szCs w:val="20"/>
        </w:rPr>
      </w:pPr>
      <w:r w:rsidRPr="007E6B15">
        <w:rPr>
          <w:rFonts w:ascii="Tahoma" w:hAnsi="Tahoma" w:cs="Tahoma"/>
          <w:b/>
          <w:shadow/>
          <w:sz w:val="20"/>
          <w:szCs w:val="20"/>
        </w:rPr>
        <w:t xml:space="preserve">VOCAL           </w:t>
      </w:r>
      <w:r w:rsidRPr="007E6B15">
        <w:rPr>
          <w:rFonts w:ascii="Tahoma" w:hAnsi="Tahoma" w:cs="Tahoma"/>
          <w:b/>
          <w:shadow/>
          <w:sz w:val="20"/>
          <w:szCs w:val="20"/>
        </w:rPr>
        <w:tab/>
      </w:r>
      <w:r w:rsidRPr="007E6B15">
        <w:rPr>
          <w:rFonts w:ascii="Tahoma" w:hAnsi="Tahoma" w:cs="Tahoma"/>
          <w:b/>
          <w:shadow/>
          <w:sz w:val="20"/>
          <w:szCs w:val="20"/>
        </w:rPr>
        <w:tab/>
        <w:t xml:space="preserve">                                                                VOCAL</w:t>
      </w:r>
    </w:p>
    <w:p w:rsidR="00635F2E" w:rsidRPr="007E6B15" w:rsidRDefault="00635F2E" w:rsidP="00E13E6B">
      <w:pPr>
        <w:jc w:val="both"/>
        <w:rPr>
          <w:rFonts w:ascii="Tahoma" w:hAnsi="Tahoma" w:cs="Tahoma"/>
          <w:sz w:val="20"/>
          <w:szCs w:val="20"/>
        </w:rPr>
      </w:pPr>
    </w:p>
    <w:p w:rsidR="00635F2E" w:rsidRPr="007E6B15" w:rsidRDefault="00635F2E" w:rsidP="00E13E6B">
      <w:pPr>
        <w:jc w:val="both"/>
        <w:rPr>
          <w:rFonts w:ascii="Tahoma" w:hAnsi="Tahoma" w:cs="Tahoma"/>
          <w:sz w:val="20"/>
          <w:szCs w:val="20"/>
        </w:rPr>
      </w:pPr>
    </w:p>
    <w:p w:rsidR="00635F2E" w:rsidRPr="007E6B15" w:rsidRDefault="00635F2E" w:rsidP="00E13E6B">
      <w:pPr>
        <w:jc w:val="both"/>
        <w:rPr>
          <w:rFonts w:ascii="Tahoma" w:hAnsi="Tahoma" w:cs="Tahoma"/>
          <w:sz w:val="20"/>
          <w:szCs w:val="20"/>
        </w:rPr>
      </w:pPr>
    </w:p>
    <w:p w:rsidR="00E13E6B" w:rsidRPr="007E6B15" w:rsidRDefault="00E13E6B" w:rsidP="00E13E6B">
      <w:pPr>
        <w:jc w:val="both"/>
        <w:rPr>
          <w:rFonts w:ascii="Tahoma" w:hAnsi="Tahoma" w:cs="Tahoma"/>
          <w:sz w:val="20"/>
          <w:szCs w:val="20"/>
        </w:rPr>
      </w:pPr>
      <w:r w:rsidRPr="007E6B15">
        <w:rPr>
          <w:rFonts w:ascii="Tahoma" w:hAnsi="Tahoma" w:cs="Tahoma"/>
          <w:sz w:val="20"/>
          <w:szCs w:val="20"/>
        </w:rPr>
        <w:t>ss.</w:t>
      </w:r>
    </w:p>
    <w:p w:rsidR="00351F6F" w:rsidRPr="007E6B15" w:rsidRDefault="00351F6F" w:rsidP="00351F6F">
      <w:pPr>
        <w:jc w:val="both"/>
        <w:rPr>
          <w:rFonts w:ascii="Tahoma" w:hAnsi="Tahoma" w:cs="Tahoma"/>
          <w:sz w:val="20"/>
          <w:szCs w:val="20"/>
        </w:rPr>
      </w:pPr>
      <w:r w:rsidRPr="007E6B15">
        <w:rPr>
          <w:rFonts w:ascii="Tahoma" w:hAnsi="Tahoma" w:cs="Tahoma"/>
          <w:sz w:val="20"/>
          <w:szCs w:val="20"/>
        </w:rPr>
        <w:t>Navas Rondón</w:t>
      </w:r>
    </w:p>
    <w:p w:rsidR="00351F6F" w:rsidRPr="007E6B15" w:rsidRDefault="00351F6F" w:rsidP="00351F6F">
      <w:pPr>
        <w:jc w:val="both"/>
        <w:rPr>
          <w:rFonts w:ascii="Tahoma" w:hAnsi="Tahoma" w:cs="Tahoma"/>
          <w:color w:val="000000"/>
          <w:sz w:val="20"/>
          <w:szCs w:val="20"/>
        </w:rPr>
      </w:pPr>
      <w:r w:rsidRPr="007E6B15">
        <w:rPr>
          <w:rFonts w:ascii="Tahoma" w:hAnsi="Tahoma" w:cs="Tahoma"/>
          <w:color w:val="000000"/>
          <w:sz w:val="20"/>
          <w:szCs w:val="20"/>
        </w:rPr>
        <w:t xml:space="preserve">Ramírez Maynetto </w:t>
      </w:r>
    </w:p>
    <w:p w:rsidR="00351F6F" w:rsidRPr="007E6B15" w:rsidRDefault="00351F6F" w:rsidP="00351F6F">
      <w:pPr>
        <w:jc w:val="both"/>
        <w:rPr>
          <w:rFonts w:ascii="Tahoma" w:hAnsi="Tahoma" w:cs="Tahoma"/>
          <w:sz w:val="20"/>
          <w:szCs w:val="20"/>
        </w:rPr>
      </w:pPr>
      <w:r w:rsidRPr="007E6B15">
        <w:rPr>
          <w:rFonts w:ascii="Tahoma" w:hAnsi="Tahoma" w:cs="Tahoma"/>
          <w:sz w:val="20"/>
          <w:szCs w:val="20"/>
        </w:rPr>
        <w:t>Basulto Liewald.</w:t>
      </w:r>
    </w:p>
    <w:p w:rsidR="002C6D86" w:rsidRPr="007E6B15" w:rsidRDefault="004F4208" w:rsidP="00351F6F">
      <w:pPr>
        <w:jc w:val="both"/>
        <w:rPr>
          <w:rFonts w:ascii="Tahoma" w:hAnsi="Tahoma" w:cs="Tahoma"/>
          <w:sz w:val="20"/>
          <w:szCs w:val="20"/>
        </w:rPr>
      </w:pPr>
    </w:p>
    <w:sectPr w:rsidR="002C6D86" w:rsidRPr="007E6B15"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208" w:rsidRDefault="004F4208" w:rsidP="00E13E6B">
      <w:r>
        <w:separator/>
      </w:r>
    </w:p>
  </w:endnote>
  <w:endnote w:type="continuationSeparator" w:id="1">
    <w:p w:rsidR="004F4208" w:rsidRDefault="004F4208"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4F4208" w:rsidP="00E066F0">
    <w:pPr>
      <w:pStyle w:val="Piedepgina"/>
      <w:jc w:val="center"/>
    </w:pPr>
  </w:p>
  <w:p w:rsidR="00E066F0" w:rsidRDefault="005B0EEA" w:rsidP="00E066F0">
    <w:pPr>
      <w:pStyle w:val="Piedepgina"/>
      <w:jc w:val="center"/>
    </w:pPr>
    <w:r>
      <w:t xml:space="preserve">Página </w:t>
    </w:r>
    <w:r w:rsidR="006D56EB">
      <w:fldChar w:fldCharType="begin"/>
    </w:r>
    <w:r>
      <w:instrText>PAGE</w:instrText>
    </w:r>
    <w:r w:rsidR="006D56EB">
      <w:fldChar w:fldCharType="separate"/>
    </w:r>
    <w:r w:rsidR="00132198">
      <w:rPr>
        <w:noProof/>
      </w:rPr>
      <w:t>1</w:t>
    </w:r>
    <w:r w:rsidR="006D56EB">
      <w:fldChar w:fldCharType="end"/>
    </w:r>
    <w:r w:rsidRPr="006214E4">
      <w:t xml:space="preserve"> de </w:t>
    </w:r>
    <w:r w:rsidR="006D56EB">
      <w:fldChar w:fldCharType="begin"/>
    </w:r>
    <w:r>
      <w:instrText>NUMPAGES</w:instrText>
    </w:r>
    <w:r w:rsidR="006D56EB">
      <w:fldChar w:fldCharType="separate"/>
    </w:r>
    <w:r w:rsidR="00132198">
      <w:rPr>
        <w:noProof/>
      </w:rPr>
      <w:t>15</w:t>
    </w:r>
    <w:r w:rsidR="006D56EB">
      <w:fldChar w:fldCharType="end"/>
    </w:r>
  </w:p>
  <w:p w:rsidR="00E066F0" w:rsidRPr="00223795" w:rsidRDefault="004F4208"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208" w:rsidRDefault="004F4208" w:rsidP="00E13E6B">
      <w:r>
        <w:separator/>
      </w:r>
    </w:p>
  </w:footnote>
  <w:footnote w:type="continuationSeparator" w:id="1">
    <w:p w:rsidR="004F4208" w:rsidRDefault="004F4208" w:rsidP="00E13E6B">
      <w:r>
        <w:continuationSeparator/>
      </w:r>
    </w:p>
  </w:footnote>
  <w:footnote w:id="2">
    <w:p w:rsidR="007E6B15" w:rsidRDefault="007E6B15" w:rsidP="007E6B15">
      <w:r>
        <w:rPr>
          <w:rStyle w:val="Refdenotaalpie"/>
        </w:rPr>
        <w:footnoteRef/>
      </w:r>
      <w:r>
        <w:t xml:space="preserve"> </w:t>
      </w:r>
      <w:r w:rsidRPr="00C062F9">
        <w:rPr>
          <w:b/>
          <w:sz w:val="16"/>
          <w:szCs w:val="16"/>
        </w:rPr>
        <w:t>Cláusula Octava.-</w:t>
      </w:r>
      <w:r>
        <w:rPr>
          <w:b/>
          <w:sz w:val="16"/>
          <w:szCs w:val="16"/>
        </w:rPr>
        <w:t xml:space="preserve"> (...) </w:t>
      </w:r>
      <w:r w:rsidRPr="009C3AAA">
        <w:rPr>
          <w:sz w:val="16"/>
          <w:szCs w:val="16"/>
        </w:rPr>
        <w:t xml:space="preserve">El Contratista deberá cumplir con </w:t>
      </w:r>
      <w:r>
        <w:rPr>
          <w:sz w:val="16"/>
          <w:szCs w:val="16"/>
        </w:rPr>
        <w:t>la</w:t>
      </w:r>
      <w:r w:rsidRPr="009C3AAA">
        <w:rPr>
          <w:sz w:val="16"/>
          <w:szCs w:val="16"/>
        </w:rPr>
        <w:t xml:space="preserve"> p</w:t>
      </w:r>
      <w:r w:rsidRPr="009C3AAA">
        <w:rPr>
          <w:rFonts w:cs="Tahoma"/>
          <w:bCs/>
          <w:sz w:val="16"/>
          <w:szCs w:val="16"/>
        </w:rPr>
        <w:t>resentaci</w:t>
      </w:r>
      <w:r>
        <w:rPr>
          <w:rFonts w:cs="Tahoma"/>
          <w:bCs/>
          <w:sz w:val="16"/>
          <w:szCs w:val="16"/>
        </w:rPr>
        <w:t xml:space="preserve">ón </w:t>
      </w:r>
      <w:r w:rsidRPr="009C3AAA">
        <w:rPr>
          <w:rFonts w:cs="Tahoma"/>
          <w:bCs/>
          <w:sz w:val="16"/>
          <w:szCs w:val="16"/>
        </w:rPr>
        <w:t xml:space="preserve">de los expedientes, seguimiento, subsanaciones de las esquelas de las observaciones y demás trámites hasta la inscripción definitiva de los terrenos en </w:t>
      </w:r>
      <w:smartTag w:uri="urn:schemas-microsoft-com:office:smarttags" w:element="PersonName">
        <w:smartTagPr>
          <w:attr w:name="ProductID" w:val="la SUNARP."/>
        </w:smartTagPr>
        <w:r w:rsidRPr="009C3AAA">
          <w:rPr>
            <w:rFonts w:cs="Tahoma"/>
            <w:bCs/>
            <w:sz w:val="16"/>
            <w:szCs w:val="16"/>
          </w:rPr>
          <w:t>la SUNARP.</w:t>
        </w:r>
      </w:smartTag>
      <w:r w:rsidRPr="00FF516E">
        <w:rPr>
          <w:rFonts w:cs="Tahoma"/>
          <w:bCs/>
          <w:sz w:val="16"/>
          <w:szCs w:val="16"/>
        </w:rPr>
        <w:t xml:space="preserve"> </w:t>
      </w:r>
    </w:p>
  </w:footnote>
  <w:footnote w:id="3">
    <w:p w:rsidR="007E6B15" w:rsidRPr="00A0332E" w:rsidRDefault="007E6B15" w:rsidP="004A2DC1">
      <w:pPr>
        <w:pStyle w:val="Textonotapie"/>
        <w:jc w:val="both"/>
        <w:rPr>
          <w:sz w:val="14"/>
          <w:szCs w:val="14"/>
        </w:rPr>
      </w:pPr>
      <w:r w:rsidRPr="00A0332E">
        <w:rPr>
          <w:rStyle w:val="Refdenotaalpie"/>
          <w:sz w:val="14"/>
          <w:szCs w:val="14"/>
        </w:rPr>
        <w:footnoteRef/>
      </w:r>
      <w:r w:rsidRPr="00A0332E">
        <w:rPr>
          <w:sz w:val="14"/>
          <w:szCs w:val="14"/>
        </w:rPr>
        <w:t xml:space="preserve"> </w:t>
      </w:r>
      <w:r w:rsidRPr="00A0332E">
        <w:rPr>
          <w:b/>
          <w:sz w:val="14"/>
          <w:szCs w:val="14"/>
        </w:rPr>
        <w:t>Artículo 51.- Infracciones y sanciones administrativas</w:t>
      </w:r>
    </w:p>
    <w:p w:rsidR="007E6B15" w:rsidRPr="00A0332E" w:rsidRDefault="007E6B15" w:rsidP="004A2DC1">
      <w:pPr>
        <w:pStyle w:val="Textonotapie"/>
        <w:jc w:val="both"/>
        <w:rPr>
          <w:sz w:val="14"/>
          <w:szCs w:val="14"/>
        </w:rPr>
      </w:pPr>
      <w:r w:rsidRPr="00A0332E">
        <w:rPr>
          <w:sz w:val="14"/>
          <w:szCs w:val="14"/>
        </w:rPr>
        <w:t>51.1 Infracciones</w:t>
      </w:r>
    </w:p>
    <w:p w:rsidR="007E6B15" w:rsidRPr="00A0332E" w:rsidRDefault="007E6B15" w:rsidP="004A2DC1">
      <w:pPr>
        <w:pStyle w:val="Textonotapie"/>
        <w:jc w:val="both"/>
        <w:rPr>
          <w:sz w:val="14"/>
          <w:szCs w:val="14"/>
        </w:rPr>
      </w:pPr>
      <w:r w:rsidRPr="00A0332E">
        <w:rPr>
          <w:sz w:val="14"/>
          <w:szCs w:val="14"/>
        </w:rPr>
        <w:t>Se impondrá sanción administrativa a los proveedores, participantes, postores y/o contratistas que:</w:t>
      </w:r>
    </w:p>
    <w:p w:rsidR="007E6B15" w:rsidRPr="00A0332E" w:rsidRDefault="007E6B15" w:rsidP="004A2DC1">
      <w:pPr>
        <w:pStyle w:val="Textonotapie"/>
        <w:jc w:val="both"/>
        <w:rPr>
          <w:sz w:val="14"/>
          <w:szCs w:val="14"/>
        </w:rPr>
      </w:pPr>
      <w:r w:rsidRPr="00A0332E">
        <w:rPr>
          <w:sz w:val="14"/>
          <w:szCs w:val="14"/>
        </w:rPr>
        <w:t>(…)</w:t>
      </w:r>
    </w:p>
    <w:p w:rsidR="007E6B15" w:rsidRPr="00A0332E" w:rsidRDefault="007E6B15" w:rsidP="004A2DC1">
      <w:pPr>
        <w:pStyle w:val="Textonotapie"/>
        <w:jc w:val="both"/>
        <w:rPr>
          <w:sz w:val="14"/>
          <w:szCs w:val="14"/>
        </w:rPr>
      </w:pPr>
      <w:r w:rsidRPr="00A0332E">
        <w:rPr>
          <w:sz w:val="14"/>
          <w:szCs w:val="14"/>
        </w:rPr>
        <w:t>b) Den lugar a la resolución del contrato, orden de compra o de servicios por causal atribuible a su  parte;</w:t>
      </w:r>
    </w:p>
  </w:footnote>
  <w:footnote w:id="4">
    <w:p w:rsidR="007E6B15" w:rsidRPr="00A0332E" w:rsidRDefault="007E6B15" w:rsidP="004A2DC1">
      <w:pPr>
        <w:pStyle w:val="Textonotapie"/>
        <w:jc w:val="both"/>
        <w:rPr>
          <w:sz w:val="14"/>
          <w:szCs w:val="14"/>
        </w:rPr>
      </w:pPr>
      <w:r w:rsidRPr="00A0332E">
        <w:rPr>
          <w:rStyle w:val="Refdenotaalpie"/>
          <w:sz w:val="14"/>
          <w:szCs w:val="14"/>
        </w:rPr>
        <w:footnoteRef/>
      </w:r>
      <w:r w:rsidRPr="00A0332E">
        <w:rPr>
          <w:sz w:val="14"/>
          <w:szCs w:val="14"/>
        </w:rPr>
        <w:t xml:space="preserve"> </w:t>
      </w:r>
      <w:r w:rsidRPr="00A0332E">
        <w:rPr>
          <w:b/>
          <w:bCs/>
          <w:sz w:val="14"/>
          <w:szCs w:val="14"/>
        </w:rPr>
        <w:t>Artículo 237.- Causales de aplicación de sanción a los proveedores, participantes, postores y contratistas</w:t>
      </w:r>
    </w:p>
    <w:p w:rsidR="007E6B15" w:rsidRPr="00A0332E" w:rsidRDefault="007E6B15" w:rsidP="004A2DC1">
      <w:pPr>
        <w:pStyle w:val="Textonotapie"/>
        <w:jc w:val="both"/>
        <w:rPr>
          <w:sz w:val="14"/>
          <w:szCs w:val="14"/>
        </w:rPr>
      </w:pPr>
      <w:r w:rsidRPr="00A0332E">
        <w:rPr>
          <w:sz w:val="14"/>
          <w:szCs w:val="14"/>
        </w:rPr>
        <w:t>El Tribunal impondrá la sanción administrativa de inhabilitación temporal o definitiva a los proveedores, participantes, postores y/o contratistas que:</w:t>
      </w:r>
    </w:p>
    <w:p w:rsidR="007E6B15" w:rsidRPr="00A0332E" w:rsidRDefault="007E6B15" w:rsidP="004A2DC1">
      <w:pPr>
        <w:pStyle w:val="Textonotapie"/>
        <w:jc w:val="both"/>
        <w:rPr>
          <w:sz w:val="14"/>
          <w:szCs w:val="14"/>
        </w:rPr>
      </w:pPr>
      <w:r w:rsidRPr="00A0332E">
        <w:rPr>
          <w:sz w:val="14"/>
          <w:szCs w:val="14"/>
        </w:rPr>
        <w:t>(…)</w:t>
      </w:r>
    </w:p>
    <w:p w:rsidR="007E6B15" w:rsidRPr="00A0332E" w:rsidRDefault="007E6B15" w:rsidP="004A2DC1">
      <w:pPr>
        <w:pStyle w:val="Textonotapie"/>
        <w:jc w:val="both"/>
        <w:rPr>
          <w:sz w:val="14"/>
          <w:szCs w:val="14"/>
        </w:rPr>
      </w:pPr>
      <w:r w:rsidRPr="00A0332E">
        <w:rPr>
          <w:sz w:val="14"/>
          <w:szCs w:val="14"/>
        </w:rPr>
        <w:t>2) Den lugar a la resolución del contrato, orden de compra o de servicios por causal atribuible a su parte.</w:t>
      </w:r>
    </w:p>
    <w:p w:rsidR="007E6B15" w:rsidRPr="00A0332E" w:rsidRDefault="007E6B15" w:rsidP="007E6B15">
      <w:pPr>
        <w:pStyle w:val="Textonotapie"/>
        <w:rPr>
          <w:sz w:val="14"/>
          <w:szCs w:val="14"/>
        </w:rPr>
      </w:pPr>
    </w:p>
  </w:footnote>
  <w:footnote w:id="5">
    <w:p w:rsidR="007E6B15" w:rsidRPr="00CD30A1" w:rsidRDefault="007E6B15" w:rsidP="007E6B15">
      <w:pPr>
        <w:pStyle w:val="Textonotapie"/>
        <w:rPr>
          <w:rFonts w:cs="Tahoma"/>
          <w:sz w:val="18"/>
          <w:szCs w:val="18"/>
        </w:rPr>
      </w:pPr>
      <w:r w:rsidRPr="00A0332E">
        <w:rPr>
          <w:rStyle w:val="Refdenotaalpie"/>
          <w:rFonts w:cs="Tahoma"/>
          <w:sz w:val="14"/>
          <w:szCs w:val="14"/>
        </w:rPr>
        <w:footnoteRef/>
      </w:r>
      <w:r w:rsidRPr="00A0332E">
        <w:rPr>
          <w:rFonts w:cs="Tahoma"/>
          <w:sz w:val="14"/>
          <w:szCs w:val="14"/>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footnote>
  <w:footnote w:id="6">
    <w:p w:rsidR="007E6B15" w:rsidRPr="0069745D" w:rsidRDefault="007E6B15" w:rsidP="007E6B15">
      <w:pPr>
        <w:pStyle w:val="Textonotapie"/>
        <w:tabs>
          <w:tab w:val="left" w:pos="284"/>
        </w:tabs>
        <w:ind w:left="284" w:hanging="284"/>
        <w:rPr>
          <w:b/>
          <w:bCs/>
          <w:color w:val="000000"/>
          <w:sz w:val="16"/>
          <w:szCs w:val="16"/>
        </w:rPr>
      </w:pPr>
      <w:r w:rsidRPr="0069745D">
        <w:rPr>
          <w:rStyle w:val="Refdenotaalpie"/>
          <w:rFonts w:cs="Tahoma"/>
          <w:sz w:val="16"/>
          <w:szCs w:val="16"/>
        </w:rPr>
        <w:footnoteRef/>
      </w:r>
      <w:r w:rsidRPr="0069745D">
        <w:rPr>
          <w:rFonts w:cs="Tahoma"/>
          <w:sz w:val="16"/>
          <w:szCs w:val="16"/>
        </w:rPr>
        <w:t xml:space="preserve"> </w:t>
      </w:r>
      <w:r w:rsidRPr="0069745D">
        <w:rPr>
          <w:b/>
          <w:bCs/>
          <w:color w:val="000000"/>
          <w:sz w:val="16"/>
          <w:szCs w:val="16"/>
        </w:rPr>
        <w:t>Artículo 170.- Efectos de la resolución.-</w:t>
      </w:r>
    </w:p>
    <w:p w:rsidR="007E6B15" w:rsidRPr="0069745D" w:rsidRDefault="007E6B15" w:rsidP="007E6B15">
      <w:pPr>
        <w:pStyle w:val="Textonotapie"/>
        <w:tabs>
          <w:tab w:val="left" w:pos="0"/>
        </w:tabs>
        <w:rPr>
          <w:bCs/>
          <w:color w:val="000000"/>
          <w:sz w:val="16"/>
          <w:szCs w:val="16"/>
        </w:rPr>
      </w:pPr>
      <w:r w:rsidRPr="0069745D">
        <w:rPr>
          <w:bCs/>
          <w:color w:val="000000"/>
          <w:sz w:val="16"/>
          <w:szCs w:val="16"/>
        </w:rPr>
        <w:t>(…)</w:t>
      </w:r>
    </w:p>
    <w:p w:rsidR="007E6B15" w:rsidRPr="00D1498F" w:rsidRDefault="007E6B15" w:rsidP="007E6B15">
      <w:pPr>
        <w:pStyle w:val="Textonotapie"/>
        <w:rPr>
          <w:rFonts w:cs="Tahoma"/>
        </w:rPr>
      </w:pPr>
      <w:r w:rsidRPr="0069745D">
        <w:rPr>
          <w:color w:val="000000"/>
          <w:sz w:val="16"/>
          <w:szCs w:val="16"/>
        </w:rPr>
        <w:t xml:space="preserve">Cualquier controversia relacionada con la resolución del contrato podrá ser sometida por la parte interesada a conciliación y/o arbitraje dentro de los </w:t>
      </w:r>
      <w:r w:rsidRPr="0069745D">
        <w:rPr>
          <w:b/>
          <w:color w:val="000000"/>
          <w:sz w:val="16"/>
          <w:szCs w:val="16"/>
          <w:u w:val="single"/>
        </w:rPr>
        <w:t>quince (15) días hábiles</w:t>
      </w:r>
      <w:r w:rsidRPr="0069745D">
        <w:rPr>
          <w:color w:val="000000"/>
          <w:sz w:val="16"/>
          <w:szCs w:val="16"/>
        </w:rPr>
        <w:t xml:space="preserve"> siguientes de comunicada la resolución. Vencido este plazo sin que se haya iniciado ninguno de estos procedimientos, se entenderá que la resolución del contrato ha quedado consentida. </w:t>
      </w:r>
    </w:p>
  </w:footnote>
  <w:footnote w:id="7">
    <w:p w:rsidR="007E6B15" w:rsidRPr="00343FDD" w:rsidRDefault="007E6B15" w:rsidP="007E6B15">
      <w:pPr>
        <w:rPr>
          <w:rFonts w:cs="Tahoma"/>
          <w:sz w:val="14"/>
          <w:szCs w:val="14"/>
        </w:rPr>
      </w:pPr>
      <w:r w:rsidRPr="00343FDD">
        <w:rPr>
          <w:rStyle w:val="Refdenotaalpie"/>
          <w:sz w:val="14"/>
          <w:szCs w:val="14"/>
        </w:rPr>
        <w:footnoteRef/>
      </w:r>
      <w:r w:rsidRPr="00343FDD">
        <w:rPr>
          <w:sz w:val="14"/>
          <w:szCs w:val="14"/>
        </w:rPr>
        <w:t xml:space="preserve"> </w:t>
      </w:r>
      <w:r w:rsidRPr="00343FDD">
        <w:rPr>
          <w:rFonts w:cs="Tahoma"/>
          <w:b/>
          <w:sz w:val="14"/>
          <w:szCs w:val="14"/>
          <w:u w:val="single"/>
        </w:rPr>
        <w:t>PLAZO DE EJECUCIÓN DEL SERVICIO</w:t>
      </w:r>
      <w:r w:rsidRPr="00343FDD">
        <w:rPr>
          <w:rFonts w:cs="Tahoma"/>
          <w:b/>
          <w:bCs/>
          <w:sz w:val="14"/>
          <w:szCs w:val="14"/>
        </w:rPr>
        <w:t xml:space="preserve">.- </w:t>
      </w:r>
      <w:r w:rsidRPr="00343FDD">
        <w:rPr>
          <w:rFonts w:cs="Tahoma"/>
          <w:sz w:val="14"/>
          <w:szCs w:val="14"/>
        </w:rPr>
        <w:t xml:space="preserve">El servicio tendrá como plazo de ejecución un plazo no mayor de </w:t>
      </w:r>
      <w:r w:rsidRPr="00343FDD">
        <w:rPr>
          <w:rFonts w:cs="Tahoma"/>
          <w:b/>
          <w:sz w:val="14"/>
          <w:szCs w:val="14"/>
        </w:rPr>
        <w:t>sesenta (60) días calendarios</w:t>
      </w:r>
      <w:r w:rsidRPr="00343FDD">
        <w:rPr>
          <w:rFonts w:cs="Tahoma"/>
          <w:sz w:val="14"/>
          <w:szCs w:val="14"/>
        </w:rPr>
        <w:t>, contados a partir del día siguiente de la firma del contrato, tiempo durante el cual se ejecutará los trabajos respectivos.</w:t>
      </w:r>
    </w:p>
    <w:p w:rsidR="007E6B15" w:rsidRPr="00343FDD" w:rsidRDefault="007E6B15" w:rsidP="007E6B15">
      <w:pPr>
        <w:rPr>
          <w:rFonts w:cs="Tahoma"/>
          <w:sz w:val="14"/>
          <w:szCs w:val="14"/>
        </w:rPr>
      </w:pPr>
      <w:r w:rsidRPr="00343FDD">
        <w:rPr>
          <w:rFonts w:cs="Tahoma"/>
          <w:sz w:val="14"/>
          <w:szCs w:val="14"/>
        </w:rPr>
        <w:t>El plazo de inscripción del Saneamiento Físico Legal en los Registros Público es de acuerdo a los plazos de la propia Institución Registral.</w:t>
      </w:r>
    </w:p>
    <w:p w:rsidR="007E6B15" w:rsidRPr="00343FDD" w:rsidRDefault="007E6B15" w:rsidP="007E6B15">
      <w:pPr>
        <w:pStyle w:val="Textonotapie"/>
        <w:rPr>
          <w:sz w:val="14"/>
          <w:szCs w:val="14"/>
        </w:rPr>
      </w:pPr>
    </w:p>
  </w:footnote>
  <w:footnote w:id="8">
    <w:p w:rsidR="007E6B15" w:rsidRPr="00343FDD" w:rsidRDefault="007E6B15" w:rsidP="007E6B15">
      <w:pPr>
        <w:pStyle w:val="Sinespaciado"/>
        <w:jc w:val="both"/>
        <w:rPr>
          <w:rFonts w:ascii="Tahoma" w:hAnsi="Tahoma" w:cs="Tahoma"/>
          <w:sz w:val="14"/>
          <w:szCs w:val="14"/>
        </w:rPr>
      </w:pPr>
      <w:r w:rsidRPr="00343FDD">
        <w:rPr>
          <w:rStyle w:val="Refdenotaalpie"/>
          <w:rFonts w:ascii="Tahoma" w:hAnsi="Tahoma" w:cs="Tahoma"/>
          <w:sz w:val="14"/>
          <w:szCs w:val="14"/>
        </w:rPr>
        <w:footnoteRef/>
      </w:r>
      <w:r w:rsidRPr="00343FDD">
        <w:rPr>
          <w:rFonts w:ascii="Tahoma" w:hAnsi="Tahoma" w:cs="Tahoma"/>
          <w:sz w:val="14"/>
          <w:szCs w:val="14"/>
        </w:rPr>
        <w:t xml:space="preserve"> Documento obrante a folio № 147 del expediente administrativo.</w:t>
      </w:r>
    </w:p>
  </w:footnote>
  <w:footnote w:id="9">
    <w:p w:rsidR="007E6B15" w:rsidRPr="00343FDD" w:rsidRDefault="007E6B15" w:rsidP="007E6B15">
      <w:pPr>
        <w:pStyle w:val="Sinespaciado"/>
        <w:jc w:val="both"/>
        <w:rPr>
          <w:rFonts w:ascii="Tahoma" w:hAnsi="Tahoma" w:cs="Tahoma"/>
          <w:sz w:val="14"/>
          <w:szCs w:val="14"/>
        </w:rPr>
      </w:pPr>
      <w:r w:rsidRPr="00343FDD">
        <w:rPr>
          <w:rStyle w:val="Refdenotaalpie"/>
          <w:rFonts w:ascii="Tahoma" w:hAnsi="Tahoma" w:cs="Tahoma"/>
          <w:sz w:val="14"/>
          <w:szCs w:val="14"/>
        </w:rPr>
        <w:footnoteRef/>
      </w:r>
      <w:r w:rsidRPr="00343FDD">
        <w:rPr>
          <w:rFonts w:ascii="Tahoma" w:hAnsi="Tahoma" w:cs="Tahoma"/>
          <w:sz w:val="14"/>
          <w:szCs w:val="14"/>
        </w:rPr>
        <w:t xml:space="preserve"> Decreto Supremo Nº 130-2001-EF, modificado por el Decreto Supremo N° 007-2008-VIVIEMDA, regula los trámites para realizar el Saneamiento o inscripción registral de un predio de propiedad del Estado.</w:t>
      </w:r>
    </w:p>
    <w:p w:rsidR="007E6B15" w:rsidRDefault="007E6B15" w:rsidP="007E6B15">
      <w:pPr>
        <w:pStyle w:val="Textonotapie"/>
      </w:pPr>
    </w:p>
  </w:footnote>
  <w:footnote w:id="10">
    <w:p w:rsidR="007E6B15" w:rsidRPr="001D2337" w:rsidRDefault="007E6B15" w:rsidP="007E6B15">
      <w:pPr>
        <w:pStyle w:val="Textonotapie"/>
        <w:rPr>
          <w:sz w:val="16"/>
          <w:szCs w:val="16"/>
        </w:rPr>
      </w:pPr>
      <w:r w:rsidRPr="001D2337">
        <w:rPr>
          <w:rStyle w:val="Refdenotaalpie"/>
          <w:sz w:val="16"/>
          <w:szCs w:val="16"/>
        </w:rPr>
        <w:footnoteRef/>
      </w:r>
      <w:r w:rsidRPr="001D2337">
        <w:rPr>
          <w:sz w:val="16"/>
          <w:szCs w:val="16"/>
        </w:rPr>
        <w:t xml:space="preserve"> Ver Carta Notarial s/n 26 de marzo de 2010, documento obrante a folio 33 del presente expediente administrativo.</w:t>
      </w:r>
    </w:p>
  </w:footnote>
  <w:footnote w:id="11">
    <w:p w:rsidR="007E6B15" w:rsidRPr="00DB2292" w:rsidRDefault="007E6B15" w:rsidP="007E6B15">
      <w:pPr>
        <w:pStyle w:val="Textonotapie"/>
        <w:rPr>
          <w:rFonts w:cs="Tahoma"/>
          <w:sz w:val="16"/>
          <w:szCs w:val="16"/>
        </w:rPr>
      </w:pPr>
      <w:r w:rsidRPr="00DB2292">
        <w:rPr>
          <w:rStyle w:val="Refdenotaalpie"/>
          <w:rFonts w:cs="Tahoma"/>
          <w:sz w:val="16"/>
          <w:szCs w:val="16"/>
        </w:rPr>
        <w:footnoteRef/>
      </w:r>
      <w:r w:rsidRPr="00DB2292">
        <w:rPr>
          <w:rFonts w:cs="Tahoma"/>
          <w:sz w:val="16"/>
          <w:szCs w:val="16"/>
        </w:rPr>
        <w:t xml:space="preserve"> </w:t>
      </w:r>
      <w:r w:rsidRPr="00DB2292">
        <w:rPr>
          <w:rFonts w:cs="Tahoma"/>
          <w:b/>
          <w:sz w:val="16"/>
          <w:szCs w:val="16"/>
        </w:rPr>
        <w:t>Artículo 1329.-</w:t>
      </w:r>
      <w:r w:rsidRPr="00DB2292">
        <w:rPr>
          <w:rFonts w:cs="Tahoma"/>
          <w:sz w:val="16"/>
          <w:szCs w:val="16"/>
        </w:rPr>
        <w:t xml:space="preserve"> Se presume que la inejecución de la obligación o su cumplimiento parcial, tardío o defectuoso obedece a culpa leve del deudor.</w:t>
      </w:r>
    </w:p>
    <w:p w:rsidR="007E6B15" w:rsidRPr="00DB2292" w:rsidRDefault="007E6B15" w:rsidP="007E6B15">
      <w:pPr>
        <w:pStyle w:val="Textonotapie"/>
        <w:rPr>
          <w:rFonts w:cs="Tahoma"/>
          <w:sz w:val="16"/>
          <w:szCs w:val="16"/>
        </w:rPr>
      </w:pPr>
    </w:p>
  </w:footnote>
  <w:footnote w:id="12">
    <w:p w:rsidR="007E6B15" w:rsidRPr="00F45A12" w:rsidRDefault="007E6B15" w:rsidP="007E6B15">
      <w:pPr>
        <w:pStyle w:val="Textonotapie"/>
        <w:rPr>
          <w:b/>
          <w:sz w:val="16"/>
          <w:szCs w:val="16"/>
          <w:lang w:val="es-ES_tradnl"/>
        </w:rPr>
      </w:pPr>
      <w:r w:rsidRPr="00F45A12">
        <w:rPr>
          <w:rStyle w:val="Refdenotaalpie"/>
          <w:sz w:val="16"/>
          <w:szCs w:val="16"/>
        </w:rPr>
        <w:footnoteRef/>
      </w:r>
      <w:r w:rsidRPr="00F45A12">
        <w:rPr>
          <w:b/>
          <w:sz w:val="16"/>
          <w:szCs w:val="16"/>
        </w:rPr>
        <w:t xml:space="preserve"> </w:t>
      </w:r>
      <w:r w:rsidRPr="00F45A12">
        <w:rPr>
          <w:b/>
          <w:sz w:val="16"/>
          <w:szCs w:val="16"/>
          <w:lang w:val="es-ES_tradnl"/>
        </w:rPr>
        <w:t>Artículo 245.- Determinación gradual de la sanción.-</w:t>
      </w:r>
    </w:p>
    <w:p w:rsidR="007E6B15" w:rsidRPr="00F45A12" w:rsidRDefault="007E6B15" w:rsidP="007E6B15">
      <w:pPr>
        <w:pStyle w:val="Textonotapie"/>
        <w:rPr>
          <w:sz w:val="16"/>
          <w:szCs w:val="16"/>
          <w:lang w:val="es-ES_tradnl"/>
        </w:rPr>
      </w:pPr>
      <w:r w:rsidRPr="00F45A12">
        <w:rPr>
          <w:sz w:val="16"/>
          <w:szCs w:val="16"/>
          <w:lang w:val="es-ES_tradnl"/>
        </w:rPr>
        <w:t>Para graduar la sanción de inhabilitación temporal a imponerse conforme a las disposiciones del presente Título, se considerarán los siguientes criterios:</w:t>
      </w:r>
    </w:p>
    <w:p w:rsidR="007E6B15" w:rsidRPr="00F45A12" w:rsidRDefault="007E6B15" w:rsidP="007E6B15">
      <w:pPr>
        <w:pStyle w:val="Textonotapie"/>
        <w:rPr>
          <w:sz w:val="16"/>
          <w:szCs w:val="16"/>
          <w:lang w:val="es-ES_tradnl"/>
        </w:rPr>
      </w:pPr>
      <w:r w:rsidRPr="00F45A12">
        <w:rPr>
          <w:sz w:val="16"/>
          <w:szCs w:val="16"/>
          <w:lang w:val="es-ES_tradnl"/>
        </w:rPr>
        <w:t>1) Naturaleza de la infracción.</w:t>
      </w:r>
    </w:p>
    <w:p w:rsidR="007E6B15" w:rsidRPr="00F45A12" w:rsidRDefault="007E6B15" w:rsidP="007E6B15">
      <w:pPr>
        <w:pStyle w:val="Textonotapie"/>
        <w:rPr>
          <w:sz w:val="16"/>
          <w:szCs w:val="16"/>
          <w:lang w:val="es-ES_tradnl"/>
        </w:rPr>
      </w:pPr>
      <w:r w:rsidRPr="00F45A12">
        <w:rPr>
          <w:sz w:val="16"/>
          <w:szCs w:val="16"/>
          <w:lang w:val="es-ES_tradnl"/>
        </w:rPr>
        <w:t>2) Intencionalidad del infractor.</w:t>
      </w:r>
    </w:p>
    <w:p w:rsidR="007E6B15" w:rsidRPr="00F45A12" w:rsidRDefault="007E6B15" w:rsidP="007E6B15">
      <w:pPr>
        <w:pStyle w:val="Textonotapie"/>
        <w:rPr>
          <w:sz w:val="16"/>
          <w:szCs w:val="16"/>
          <w:lang w:val="es-ES_tradnl"/>
        </w:rPr>
      </w:pPr>
      <w:r w:rsidRPr="00F45A12">
        <w:rPr>
          <w:sz w:val="16"/>
          <w:szCs w:val="16"/>
          <w:lang w:val="es-ES_tradnl"/>
        </w:rPr>
        <w:t>3) Daño causado.</w:t>
      </w:r>
    </w:p>
    <w:p w:rsidR="007E6B15" w:rsidRPr="00F45A12" w:rsidRDefault="007E6B15" w:rsidP="007E6B15">
      <w:pPr>
        <w:pStyle w:val="Textonotapie"/>
        <w:rPr>
          <w:sz w:val="16"/>
          <w:szCs w:val="16"/>
          <w:lang w:val="es-ES_tradnl"/>
        </w:rPr>
      </w:pPr>
      <w:r w:rsidRPr="00F45A12">
        <w:rPr>
          <w:sz w:val="16"/>
          <w:szCs w:val="16"/>
          <w:lang w:val="es-ES_tradnl"/>
        </w:rPr>
        <w:t>4) Reiterancia</w:t>
      </w:r>
    </w:p>
    <w:p w:rsidR="007E6B15" w:rsidRPr="00F45A12" w:rsidRDefault="007E6B15" w:rsidP="007E6B15">
      <w:pPr>
        <w:pStyle w:val="Textonotapie"/>
        <w:rPr>
          <w:sz w:val="16"/>
          <w:szCs w:val="16"/>
          <w:lang w:val="es-ES_tradnl"/>
        </w:rPr>
      </w:pPr>
      <w:r w:rsidRPr="00F45A12">
        <w:rPr>
          <w:sz w:val="16"/>
          <w:szCs w:val="16"/>
          <w:lang w:val="es-ES_tradnl"/>
        </w:rPr>
        <w:t>5) El reconocimiento de la infracción cometida antes de que sea detectada.</w:t>
      </w:r>
    </w:p>
    <w:p w:rsidR="007E6B15" w:rsidRPr="00F45A12" w:rsidRDefault="007E6B15" w:rsidP="007E6B15">
      <w:pPr>
        <w:pStyle w:val="Textonotapie"/>
        <w:rPr>
          <w:sz w:val="16"/>
          <w:szCs w:val="16"/>
          <w:lang w:val="es-ES_tradnl"/>
        </w:rPr>
      </w:pPr>
      <w:r w:rsidRPr="00F45A12">
        <w:rPr>
          <w:sz w:val="16"/>
          <w:szCs w:val="16"/>
          <w:lang w:val="es-ES_tradnl"/>
        </w:rPr>
        <w:t>6) Circunstancias de tiempo, lugar y modo.</w:t>
      </w:r>
    </w:p>
    <w:p w:rsidR="007E6B15" w:rsidRPr="00F45A12" w:rsidRDefault="007E6B15" w:rsidP="007E6B15">
      <w:pPr>
        <w:pStyle w:val="Textonotapie"/>
        <w:rPr>
          <w:sz w:val="16"/>
          <w:szCs w:val="16"/>
          <w:lang w:val="es-ES_tradnl"/>
        </w:rPr>
      </w:pPr>
      <w:r w:rsidRPr="00F45A12">
        <w:rPr>
          <w:sz w:val="16"/>
          <w:szCs w:val="16"/>
          <w:lang w:val="es-ES_tradnl"/>
        </w:rPr>
        <w:t>7) Condiciones del infractor.</w:t>
      </w:r>
    </w:p>
    <w:p w:rsidR="007E6B15" w:rsidRPr="00F45A12" w:rsidRDefault="007E6B15" w:rsidP="007E6B15">
      <w:pPr>
        <w:pStyle w:val="Textonotapie"/>
        <w:rPr>
          <w:sz w:val="16"/>
          <w:szCs w:val="16"/>
          <w:lang w:val="es-ES_tradnl"/>
        </w:rPr>
      </w:pPr>
      <w:r w:rsidRPr="00F45A12">
        <w:rPr>
          <w:sz w:val="16"/>
          <w:szCs w:val="16"/>
          <w:lang w:val="es-ES_tradnl"/>
        </w:rPr>
        <w:t>8) Conducta procesa del infractor.</w:t>
      </w:r>
    </w:p>
    <w:p w:rsidR="007E6B15" w:rsidRPr="002B1AB9" w:rsidRDefault="007E6B15" w:rsidP="007E6B15">
      <w:pPr>
        <w:pStyle w:val="Textonotapie"/>
        <w:rPr>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198" w:rsidRDefault="00132198" w:rsidP="00132198">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32198" w:rsidRDefault="00132198" w:rsidP="00132198">
    <w:pPr>
      <w:pStyle w:val="Encabezado"/>
      <w:rPr>
        <w:noProof/>
      </w:rPr>
    </w:pPr>
  </w:p>
  <w:p w:rsidR="00132198" w:rsidRDefault="00132198" w:rsidP="00132198">
    <w:pPr>
      <w:pStyle w:val="Encabezado"/>
      <w:rPr>
        <w:noProof/>
      </w:rPr>
    </w:pPr>
  </w:p>
  <w:p w:rsidR="00132198" w:rsidRDefault="00132198" w:rsidP="00132198">
    <w:pPr>
      <w:pStyle w:val="Encabezado"/>
      <w:rPr>
        <w:noProof/>
      </w:rPr>
    </w:pPr>
  </w:p>
  <w:p w:rsidR="00132198" w:rsidRDefault="00132198" w:rsidP="00132198">
    <w:pPr>
      <w:pStyle w:val="Encabezado"/>
      <w:jc w:val="center"/>
    </w:pPr>
    <w:r>
      <w:rPr>
        <w:rFonts w:ascii="Monotype Corsiva" w:hAnsi="Monotype Corsiva"/>
        <w:b/>
        <w:sz w:val="44"/>
        <w:szCs w:val="44"/>
      </w:rPr>
      <w:t xml:space="preserve">Resolución Nº   </w:t>
    </w:r>
    <w:r>
      <w:rPr>
        <w:rFonts w:ascii="Tahoma" w:hAnsi="Tahoma" w:cs="Tahoma"/>
        <w:b/>
        <w:sz w:val="44"/>
        <w:szCs w:val="44"/>
      </w:rPr>
      <w:t>1063-2011-TC-S1</w:t>
    </w:r>
  </w:p>
  <w:p w:rsidR="00132198" w:rsidRDefault="0013219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63AC2896"/>
    <w:lvl w:ilvl="0" w:tplc="666C9DE2">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D7C2DCC"/>
    <w:multiLevelType w:val="multilevel"/>
    <w:tmpl w:val="1B2A9BA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1">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2">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5">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6">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8">
    <w:nsid w:val="45A74DF4"/>
    <w:multiLevelType w:val="hybridMultilevel"/>
    <w:tmpl w:val="C2DE4A56"/>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1">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2">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5">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7">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8">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nsid w:val="7FD864EF"/>
    <w:multiLevelType w:val="hybridMultilevel"/>
    <w:tmpl w:val="022A51C2"/>
    <w:lvl w:ilvl="0" w:tplc="4E0EE90C">
      <w:start w:val="2"/>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3"/>
  </w:num>
  <w:num w:numId="4">
    <w:abstractNumId w:val="1"/>
  </w:num>
  <w:num w:numId="5">
    <w:abstractNumId w:val="28"/>
  </w:num>
  <w:num w:numId="6">
    <w:abstractNumId w:val="24"/>
  </w:num>
  <w:num w:numId="7">
    <w:abstractNumId w:val="22"/>
  </w:num>
  <w:num w:numId="8">
    <w:abstractNumId w:val="27"/>
  </w:num>
  <w:num w:numId="9">
    <w:abstractNumId w:val="20"/>
  </w:num>
  <w:num w:numId="10">
    <w:abstractNumId w:val="16"/>
  </w:num>
  <w:num w:numId="11">
    <w:abstractNumId w:val="4"/>
  </w:num>
  <w:num w:numId="12">
    <w:abstractNumId w:val="12"/>
  </w:num>
  <w:num w:numId="13">
    <w:abstractNumId w:val="2"/>
  </w:num>
  <w:num w:numId="14">
    <w:abstractNumId w:val="14"/>
  </w:num>
  <w:num w:numId="15">
    <w:abstractNumId w:val="21"/>
  </w:num>
  <w:num w:numId="16">
    <w:abstractNumId w:val="11"/>
  </w:num>
  <w:num w:numId="17">
    <w:abstractNumId w:val="23"/>
  </w:num>
  <w:num w:numId="18">
    <w:abstractNumId w:val="10"/>
  </w:num>
  <w:num w:numId="19">
    <w:abstractNumId w:val="25"/>
  </w:num>
  <w:num w:numId="20">
    <w:abstractNumId w:val="15"/>
  </w:num>
  <w:num w:numId="21">
    <w:abstractNumId w:val="6"/>
  </w:num>
  <w:num w:numId="22">
    <w:abstractNumId w:val="17"/>
  </w:num>
  <w:num w:numId="23">
    <w:abstractNumId w:val="8"/>
  </w:num>
  <w:num w:numId="24">
    <w:abstractNumId w:val="3"/>
  </w:num>
  <w:num w:numId="25">
    <w:abstractNumId w:val="0"/>
  </w:num>
  <w:num w:numId="26">
    <w:abstractNumId w:val="26"/>
  </w:num>
  <w:num w:numId="27">
    <w:abstractNumId w:val="1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8"/>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7650"/>
  </w:hdrShapeDefaults>
  <w:footnotePr>
    <w:footnote w:id="0"/>
    <w:footnote w:id="1"/>
  </w:footnotePr>
  <w:endnotePr>
    <w:endnote w:id="0"/>
    <w:endnote w:id="1"/>
  </w:endnotePr>
  <w:compat/>
  <w:rsids>
    <w:rsidRoot w:val="00E13E6B"/>
    <w:rsid w:val="00000BF4"/>
    <w:rsid w:val="00016207"/>
    <w:rsid w:val="00027FB1"/>
    <w:rsid w:val="00036145"/>
    <w:rsid w:val="00041FBA"/>
    <w:rsid w:val="0005582F"/>
    <w:rsid w:val="00076C20"/>
    <w:rsid w:val="00082DF1"/>
    <w:rsid w:val="000B0A8A"/>
    <w:rsid w:val="000B0CEB"/>
    <w:rsid w:val="000B6C24"/>
    <w:rsid w:val="000D61B8"/>
    <w:rsid w:val="000E3E0B"/>
    <w:rsid w:val="000E5424"/>
    <w:rsid w:val="001016D9"/>
    <w:rsid w:val="00132198"/>
    <w:rsid w:val="001337F7"/>
    <w:rsid w:val="00140241"/>
    <w:rsid w:val="00140DE4"/>
    <w:rsid w:val="00163673"/>
    <w:rsid w:val="00164CC7"/>
    <w:rsid w:val="001776B6"/>
    <w:rsid w:val="00187209"/>
    <w:rsid w:val="00187E2A"/>
    <w:rsid w:val="001C5BD6"/>
    <w:rsid w:val="001D44C0"/>
    <w:rsid w:val="001E448B"/>
    <w:rsid w:val="001E71F0"/>
    <w:rsid w:val="001F5C44"/>
    <w:rsid w:val="00206094"/>
    <w:rsid w:val="00214D5E"/>
    <w:rsid w:val="00222218"/>
    <w:rsid w:val="0022267E"/>
    <w:rsid w:val="00231184"/>
    <w:rsid w:val="0023169C"/>
    <w:rsid w:val="00254249"/>
    <w:rsid w:val="002837D2"/>
    <w:rsid w:val="00295C50"/>
    <w:rsid w:val="00331E1A"/>
    <w:rsid w:val="003430DE"/>
    <w:rsid w:val="00351F6F"/>
    <w:rsid w:val="00360AFE"/>
    <w:rsid w:val="003B4F9C"/>
    <w:rsid w:val="004255A5"/>
    <w:rsid w:val="00440D71"/>
    <w:rsid w:val="00442AC8"/>
    <w:rsid w:val="004515EA"/>
    <w:rsid w:val="00455F96"/>
    <w:rsid w:val="00466DC8"/>
    <w:rsid w:val="00484F8C"/>
    <w:rsid w:val="004A2DC1"/>
    <w:rsid w:val="004B72CA"/>
    <w:rsid w:val="004C487F"/>
    <w:rsid w:val="004C5043"/>
    <w:rsid w:val="004E1A73"/>
    <w:rsid w:val="004F2CC5"/>
    <w:rsid w:val="004F4208"/>
    <w:rsid w:val="00531D1E"/>
    <w:rsid w:val="005521E5"/>
    <w:rsid w:val="00567032"/>
    <w:rsid w:val="0057348B"/>
    <w:rsid w:val="00595709"/>
    <w:rsid w:val="005B0EEA"/>
    <w:rsid w:val="005B1E24"/>
    <w:rsid w:val="005E3E1C"/>
    <w:rsid w:val="005E6E6D"/>
    <w:rsid w:val="005F3C91"/>
    <w:rsid w:val="00635F2E"/>
    <w:rsid w:val="00642EE3"/>
    <w:rsid w:val="00645B41"/>
    <w:rsid w:val="0065269D"/>
    <w:rsid w:val="006550D3"/>
    <w:rsid w:val="006B6377"/>
    <w:rsid w:val="006C0A94"/>
    <w:rsid w:val="006C2E41"/>
    <w:rsid w:val="006C5B6A"/>
    <w:rsid w:val="006D0A8D"/>
    <w:rsid w:val="006D2E88"/>
    <w:rsid w:val="006D56EB"/>
    <w:rsid w:val="006E4E4E"/>
    <w:rsid w:val="006E5571"/>
    <w:rsid w:val="006E5BF8"/>
    <w:rsid w:val="006F0656"/>
    <w:rsid w:val="006F3B1E"/>
    <w:rsid w:val="0074555F"/>
    <w:rsid w:val="007570AE"/>
    <w:rsid w:val="00763CC8"/>
    <w:rsid w:val="00766749"/>
    <w:rsid w:val="007728C3"/>
    <w:rsid w:val="007D7DEB"/>
    <w:rsid w:val="007D7E70"/>
    <w:rsid w:val="007E4F29"/>
    <w:rsid w:val="007E6B15"/>
    <w:rsid w:val="008011A4"/>
    <w:rsid w:val="00822C2F"/>
    <w:rsid w:val="00826B5E"/>
    <w:rsid w:val="00835165"/>
    <w:rsid w:val="008422E3"/>
    <w:rsid w:val="008734E8"/>
    <w:rsid w:val="00903A92"/>
    <w:rsid w:val="009066F9"/>
    <w:rsid w:val="00920048"/>
    <w:rsid w:val="0092385F"/>
    <w:rsid w:val="0092699F"/>
    <w:rsid w:val="00932E06"/>
    <w:rsid w:val="00952222"/>
    <w:rsid w:val="00982D52"/>
    <w:rsid w:val="00992FEE"/>
    <w:rsid w:val="00993C05"/>
    <w:rsid w:val="009B3C77"/>
    <w:rsid w:val="009C2CF7"/>
    <w:rsid w:val="009E1F2A"/>
    <w:rsid w:val="009E3BC8"/>
    <w:rsid w:val="00A36836"/>
    <w:rsid w:val="00A52C81"/>
    <w:rsid w:val="00A9776E"/>
    <w:rsid w:val="00AA6BAC"/>
    <w:rsid w:val="00AA7525"/>
    <w:rsid w:val="00AB0F61"/>
    <w:rsid w:val="00AD4AB5"/>
    <w:rsid w:val="00AE41DD"/>
    <w:rsid w:val="00B05429"/>
    <w:rsid w:val="00B06760"/>
    <w:rsid w:val="00B1735A"/>
    <w:rsid w:val="00B25FCD"/>
    <w:rsid w:val="00B31BA1"/>
    <w:rsid w:val="00B71CFC"/>
    <w:rsid w:val="00BD122E"/>
    <w:rsid w:val="00BE51B2"/>
    <w:rsid w:val="00BE67EB"/>
    <w:rsid w:val="00C100CC"/>
    <w:rsid w:val="00C127C1"/>
    <w:rsid w:val="00C15ECB"/>
    <w:rsid w:val="00C5251B"/>
    <w:rsid w:val="00C8148D"/>
    <w:rsid w:val="00C866D0"/>
    <w:rsid w:val="00CB4799"/>
    <w:rsid w:val="00CC3859"/>
    <w:rsid w:val="00CC52A3"/>
    <w:rsid w:val="00D002B4"/>
    <w:rsid w:val="00D069FF"/>
    <w:rsid w:val="00D115F8"/>
    <w:rsid w:val="00D13BC9"/>
    <w:rsid w:val="00D43251"/>
    <w:rsid w:val="00D445DC"/>
    <w:rsid w:val="00D66D64"/>
    <w:rsid w:val="00DA127C"/>
    <w:rsid w:val="00DA2C25"/>
    <w:rsid w:val="00DB2F75"/>
    <w:rsid w:val="00DB756D"/>
    <w:rsid w:val="00DC3001"/>
    <w:rsid w:val="00DD1154"/>
    <w:rsid w:val="00DD589B"/>
    <w:rsid w:val="00E124B8"/>
    <w:rsid w:val="00E13E6B"/>
    <w:rsid w:val="00E1470E"/>
    <w:rsid w:val="00E633EF"/>
    <w:rsid w:val="00E77676"/>
    <w:rsid w:val="00E964AA"/>
    <w:rsid w:val="00EC4953"/>
    <w:rsid w:val="00EE4815"/>
    <w:rsid w:val="00EE7A6B"/>
    <w:rsid w:val="00F3647A"/>
    <w:rsid w:val="00F4438A"/>
    <w:rsid w:val="00F50510"/>
    <w:rsid w:val="00F66D53"/>
    <w:rsid w:val="00F77525"/>
    <w:rsid w:val="00F95796"/>
    <w:rsid w:val="00FE5BF4"/>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34"/>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customStyle="1" w:styleId="msonormalcxspmiddle">
    <w:name w:val="msonormalcxspmiddle"/>
    <w:basedOn w:val="Normal"/>
    <w:rsid w:val="005E6E6D"/>
    <w:pPr>
      <w:spacing w:before="100" w:beforeAutospacing="1" w:after="100" w:afterAutospacing="1"/>
    </w:pPr>
    <w:rPr>
      <w:rFonts w:eastAsia="Times New Roman"/>
    </w:rPr>
  </w:style>
  <w:style w:type="paragraph" w:customStyle="1" w:styleId="WW-Textosinformato">
    <w:name w:val="WW-Texto sin formato"/>
    <w:basedOn w:val="Normal"/>
    <w:rsid w:val="00076C20"/>
    <w:pPr>
      <w:suppressAutoHyphens/>
    </w:pPr>
    <w:rPr>
      <w:rFonts w:ascii="Courier New" w:eastAsia="MS Mincho" w:hAnsi="Courier New"/>
      <w:sz w:val="20"/>
      <w:szCs w:val="20"/>
      <w:lang w:val="es-PE"/>
    </w:rPr>
  </w:style>
  <w:style w:type="paragraph" w:styleId="Encabezado">
    <w:name w:val="header"/>
    <w:aliases w:val="maria,h"/>
    <w:basedOn w:val="Normal"/>
    <w:link w:val="EncabezadoCar"/>
    <w:uiPriority w:val="99"/>
    <w:semiHidden/>
    <w:unhideWhenUsed/>
    <w:rsid w:val="00132198"/>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132198"/>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11748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15</Pages>
  <Words>5788</Words>
  <Characters>31838</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126</cp:revision>
  <cp:lastPrinted>2011-06-20T19:53:00Z</cp:lastPrinted>
  <dcterms:created xsi:type="dcterms:W3CDTF">2010-04-16T12:41:00Z</dcterms:created>
  <dcterms:modified xsi:type="dcterms:W3CDTF">2011-07-21T14:17:00Z</dcterms:modified>
</cp:coreProperties>
</file>